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right" w:vertAnchor="margin" w:tblpY="537" w:leftFromText="180" w:topFromText="0" w:rightFromText="180" w:bottomFromText="0"/>
        <w:tblW w:w="0" w:type="auto"/>
        <w:tblLook w:val="01E0" w:firstRow="1" w:lastRow="1" w:firstColumn="1" w:lastColumn="1" w:noHBand="0" w:noVBand="0"/>
      </w:tblPr>
      <w:tblGrid>
        <w:gridCol w:w="2448"/>
        <w:gridCol w:w="7122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48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/>
            <w:bookmarkStart w:id="0" w:name="_GoBack"/>
            <w:r/>
            <w:bookmarkEnd w:id="0"/>
            <w:r>
              <w:rPr>
                <w:sz w:val="56"/>
                <w:szCs w:val="56"/>
              </w:rPr>
              <w:t xml:space="preserve">   </w:t>
            </w:r>
            <w:r>
              <w:rPr>
                <w:sz w:val="56"/>
                <w:szCs w:val="5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20217" cy="1072591"/>
                      <wp:effectExtent l="0" t="0" r="0" b="0"/>
                      <wp:docPr id="1" name="_x0000_i105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92229503" name=""/>
                              <pic:cNvPicPr/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20215" cy="10725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4.58pt;height:84.46pt;mso-wrap-distance-left:0.00pt;mso-wrap-distance-top:0.00pt;mso-wrap-distance-right:0.00pt;mso-wrap-distance-bottom:0.0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122" w:type="dxa"/>
            <w:textDirection w:val="lrTb"/>
            <w:noWrap w:val="false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АДМИНИСТРАЦИЯ</w:t>
            </w:r>
            <w:r>
              <w:rPr>
                <w:b/>
                <w:sz w:val="32"/>
              </w:rPr>
            </w:r>
          </w:p>
          <w:p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города Нижнего Новгорода</w:t>
            </w:r>
            <w:r>
              <w:rPr>
                <w:b/>
                <w:sz w:val="32"/>
              </w:rPr>
            </w:r>
          </w:p>
          <w:p>
            <w:pPr>
              <w:ind w:firstLine="288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>
              <w:rPr>
                <w:b/>
                <w:sz w:val="32"/>
              </w:rPr>
            </w:r>
          </w:p>
          <w:p>
            <w:pPr>
              <w:pStyle w:val="1272"/>
              <w:ind w:hanging="108"/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одобрен постановлением </w:t>
            </w:r>
            <w:r>
              <w:rPr>
                <w:i/>
                <w:lang w:val="ru-RU"/>
              </w:rPr>
            </w:r>
          </w:p>
          <w:p>
            <w:pPr>
              <w:pStyle w:val="1272"/>
              <w:ind w:hanging="108"/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администрации города Нижнего Новгорода</w:t>
            </w:r>
            <w:r>
              <w:rPr>
                <w:i/>
                <w:lang w:val="ru-RU"/>
              </w:rPr>
            </w:r>
          </w:p>
          <w:p>
            <w:pPr>
              <w:ind w:hanging="108"/>
              <w:jc w:val="center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  <w:p>
            <w:pPr>
              <w:pStyle w:val="1272"/>
              <w:ind w:hanging="108"/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от  07</w:t>
            </w:r>
            <w:r>
              <w:rPr>
                <w:i/>
                <w:lang w:val="ru-RU"/>
              </w:rPr>
              <w:t xml:space="preserve">.11.2025</w:t>
            </w:r>
            <w:r>
              <w:rPr>
                <w:i/>
                <w:lang w:val="ru-RU"/>
              </w:rPr>
              <w:t xml:space="preserve">  № 14186</w:t>
            </w:r>
            <w:r>
              <w:rPr>
                <w:i/>
                <w:lang w:val="ru-RU"/>
              </w:rPr>
            </w:r>
          </w:p>
          <w:p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>
              <w:rPr>
                <w:b/>
                <w:sz w:val="32"/>
              </w:rPr>
            </w:r>
          </w:p>
        </w:tc>
      </w:tr>
    </w:tbl>
    <w:p>
      <w:pPr>
        <w:ind w:firstLine="450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450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108" w:after="108"/>
        <w:rPr>
          <w:sz w:val="66"/>
        </w:rPr>
        <w:outlineLvl w:val="0"/>
      </w:pPr>
      <w:r>
        <w:rPr>
          <w:sz w:val="66"/>
        </w:rPr>
      </w:r>
      <w:r>
        <w:rPr>
          <w:sz w:val="66"/>
        </w:rPr>
      </w:r>
    </w:p>
    <w:p>
      <w:pPr>
        <w:jc w:val="center"/>
        <w:spacing w:before="108" w:after="108"/>
        <w:rPr>
          <w:sz w:val="66"/>
        </w:rPr>
        <w:outlineLvl w:val="0"/>
      </w:pPr>
      <w:r>
        <w:rPr>
          <w:sz w:val="66"/>
        </w:rPr>
      </w:r>
      <w:r>
        <w:rPr>
          <w:sz w:val="66"/>
        </w:rPr>
      </w:r>
    </w:p>
    <w:p>
      <w:pPr>
        <w:jc w:val="center"/>
        <w:rPr>
          <w:sz w:val="66"/>
        </w:rPr>
      </w:pPr>
      <w:r>
        <w:rPr>
          <w:sz w:val="66"/>
        </w:rPr>
        <w:t xml:space="preserve">Прогноз</w:t>
      </w:r>
      <w:r>
        <w:rPr>
          <w:sz w:val="66"/>
        </w:rPr>
      </w:r>
    </w:p>
    <w:p>
      <w:pPr>
        <w:jc w:val="center"/>
        <w:rPr>
          <w:sz w:val="66"/>
        </w:rPr>
      </w:pPr>
      <w:r>
        <w:rPr>
          <w:sz w:val="66"/>
        </w:rPr>
        <w:t xml:space="preserve">социально – экономического развития города</w:t>
      </w:r>
      <w:r>
        <w:rPr>
          <w:sz w:val="66"/>
        </w:rPr>
      </w:r>
    </w:p>
    <w:p>
      <w:pPr>
        <w:jc w:val="center"/>
        <w:rPr>
          <w:sz w:val="66"/>
        </w:rPr>
      </w:pPr>
      <w:r>
        <w:rPr>
          <w:sz w:val="66"/>
        </w:rPr>
        <w:t xml:space="preserve"> Нижнего Новгорода </w:t>
      </w:r>
      <w:r>
        <w:rPr>
          <w:sz w:val="66"/>
        </w:rPr>
      </w:r>
    </w:p>
    <w:p>
      <w:pPr>
        <w:jc w:val="center"/>
        <w:rPr>
          <w:sz w:val="72"/>
        </w:rPr>
      </w:pPr>
      <w:r>
        <w:rPr>
          <w:sz w:val="66"/>
        </w:rPr>
        <w:t xml:space="preserve">на 2026-2035 годы</w:t>
      </w:r>
      <w:r>
        <w:rPr>
          <w:sz w:val="72"/>
        </w:rPr>
      </w:r>
    </w:p>
    <w:p>
      <w:pPr>
        <w:jc w:val="center"/>
        <w:rPr>
          <w:sz w:val="72"/>
        </w:rPr>
      </w:pPr>
      <w:r>
        <w:rPr>
          <w:sz w:val="72"/>
        </w:rPr>
      </w:r>
      <w:r>
        <w:rPr>
          <w:sz w:val="72"/>
        </w:rPr>
      </w:r>
    </w:p>
    <w:p>
      <w:pPr>
        <w:jc w:val="center"/>
        <w:rPr>
          <w:sz w:val="72"/>
        </w:rPr>
      </w:pPr>
      <w:r>
        <w:rPr>
          <w:sz w:val="72"/>
        </w:rPr>
      </w:r>
      <w:r>
        <w:rPr>
          <w:sz w:val="72"/>
        </w:rPr>
      </w:r>
    </w:p>
    <w:p>
      <w:pPr>
        <w:rPr>
          <w:sz w:val="72"/>
        </w:rPr>
      </w:pPr>
      <w:r>
        <w:rPr>
          <w:sz w:val="72"/>
        </w:rPr>
      </w:r>
      <w:r>
        <w:rPr>
          <w:sz w:val="72"/>
        </w:rPr>
      </w:r>
    </w:p>
    <w:p>
      <w:pPr>
        <w:rPr>
          <w:sz w:val="40"/>
          <w:szCs w:val="40"/>
        </w:rPr>
      </w:pPr>
      <w:r>
        <w:rPr>
          <w:sz w:val="40"/>
          <w:szCs w:val="40"/>
        </w:rPr>
      </w:r>
      <w:r>
        <w:rPr>
          <w:sz w:val="40"/>
          <w:szCs w:val="40"/>
        </w:rPr>
      </w:r>
    </w:p>
    <w:p>
      <w:pPr>
        <w:rPr>
          <w:sz w:val="40"/>
          <w:szCs w:val="40"/>
        </w:rPr>
      </w:pPr>
      <w:r>
        <w:rPr>
          <w:sz w:val="40"/>
          <w:szCs w:val="40"/>
        </w:rPr>
      </w:r>
      <w:r>
        <w:rPr>
          <w:sz w:val="40"/>
          <w:szCs w:val="40"/>
        </w:rPr>
      </w:r>
    </w:p>
    <w:p>
      <w:pPr>
        <w:rPr>
          <w:sz w:val="40"/>
          <w:szCs w:val="40"/>
        </w:rPr>
      </w:pPr>
      <w:r>
        <w:rPr>
          <w:sz w:val="40"/>
          <w:szCs w:val="40"/>
        </w:rPr>
      </w:r>
      <w:r>
        <w:rPr>
          <w:sz w:val="40"/>
          <w:szCs w:val="40"/>
        </w:rPr>
      </w:r>
    </w:p>
    <w:p>
      <w:pPr>
        <w:rPr>
          <w:sz w:val="40"/>
          <w:szCs w:val="40"/>
        </w:rPr>
      </w:pPr>
      <w:r>
        <w:rPr>
          <w:sz w:val="40"/>
          <w:szCs w:val="40"/>
        </w:rPr>
      </w:r>
      <w:r>
        <w:rPr>
          <w:sz w:val="40"/>
          <w:szCs w:val="40"/>
        </w:rPr>
      </w:r>
    </w:p>
    <w:p>
      <w:pPr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center"/>
        <w:rPr>
          <w:sz w:val="28"/>
        </w:rPr>
      </w:pPr>
      <w:r>
        <w:rPr>
          <w:sz w:val="28"/>
        </w:rPr>
        <w:t xml:space="preserve">Нижний Новгород</w:t>
      </w:r>
      <w:r>
        <w:rPr>
          <w:sz w:val="28"/>
        </w:rPr>
      </w:r>
    </w:p>
    <w:p>
      <w:pPr>
        <w:jc w:val="center"/>
        <w:rPr>
          <w:sz w:val="28"/>
        </w:rPr>
      </w:pPr>
      <w:r>
        <w:rPr>
          <w:sz w:val="28"/>
        </w:rPr>
        <w:t xml:space="preserve">2025 год</w:t>
      </w:r>
      <w:r>
        <w:rPr>
          <w:sz w:val="28"/>
        </w:rPr>
      </w:r>
    </w:p>
    <w:p>
      <w:r/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73"/>
        <w:ind w:firstLine="709"/>
        <w:rPr>
          <w:lang w:val="ru-RU"/>
        </w:rPr>
      </w:pPr>
      <w:r>
        <w:rPr>
          <w:lang w:val="ru-RU"/>
        </w:rPr>
        <w:t xml:space="preserve">Прогноз социально-экономического развития города Нижнего Новгорода на 2026-2035 годы разработан департаментом экономического развития и инвестиций администрации города Нижнего Новгорода</w:t>
      </w:r>
      <w:r>
        <w:rPr>
          <w:lang w:val="ru-RU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2700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Прогноз социально-экономического развития Нижнего Новгорода на 2026-2035 годы (далее - долгосрочный прогноз) разработан в соответствии с: 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tabs>
          <w:tab w:val="left" w:pos="2700" w:leader="none"/>
        </w:tabs>
        <w:rPr>
          <w:color w:val="auto"/>
          <w:sz w:val="28"/>
          <w:szCs w:val="28"/>
        </w:rPr>
      </w:pPr>
      <w:r/>
      <w:hyperlink r:id="rId15" w:tooltip="garantF1://12012604.0" w:history="1">
        <w:r>
          <w:rPr>
            <w:rStyle w:val="933"/>
            <w:bCs/>
            <w:color w:val="auto"/>
            <w:sz w:val="28"/>
            <w:szCs w:val="28"/>
            <w:u w:val="none"/>
          </w:rPr>
          <w:t xml:space="preserve">Бюджетным кодексом</w:t>
        </w:r>
      </w:hyperlink>
      <w:r>
        <w:rPr>
          <w:color w:val="auto"/>
          <w:sz w:val="28"/>
          <w:szCs w:val="28"/>
        </w:rPr>
        <w:t xml:space="preserve"> Российской Федерации;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tabs>
          <w:tab w:val="left" w:pos="2700" w:leader="none"/>
        </w:tabs>
        <w:rPr>
          <w:color w:val="auto"/>
          <w:sz w:val="28"/>
          <w:szCs w:val="28"/>
        </w:rPr>
      </w:pPr>
      <w:r/>
      <w:hyperlink r:id="rId16" w:tooltip="garantF1://70584666.0" w:history="1">
        <w:r>
          <w:rPr>
            <w:rStyle w:val="933"/>
            <w:bCs/>
            <w:color w:val="auto"/>
            <w:sz w:val="28"/>
            <w:szCs w:val="28"/>
            <w:u w:val="none"/>
          </w:rPr>
          <w:t xml:space="preserve">Федеральным законом</w:t>
        </w:r>
      </w:hyperlink>
      <w:r>
        <w:rPr>
          <w:color w:val="auto"/>
          <w:sz w:val="28"/>
          <w:szCs w:val="28"/>
        </w:rPr>
        <w:t xml:space="preserve"> от 28.06.2014 № 172-ФЗ «О стратегическом планировании в Российской Федерации»;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tabs>
          <w:tab w:val="left" w:pos="2700" w:leader="none"/>
        </w:tabs>
        <w:rPr>
          <w:color w:val="auto"/>
          <w:sz w:val="28"/>
          <w:szCs w:val="28"/>
        </w:rPr>
      </w:pPr>
      <w:r/>
      <w:hyperlink r:id="rId17" w:tooltip="garantF1://36431324.0" w:history="1">
        <w:r>
          <w:rPr>
            <w:rStyle w:val="933"/>
            <w:bCs/>
            <w:color w:val="auto"/>
            <w:sz w:val="28"/>
            <w:szCs w:val="28"/>
            <w:u w:val="none"/>
          </w:rPr>
          <w:t xml:space="preserve">законом</w:t>
        </w:r>
      </w:hyperlink>
      <w:r>
        <w:rPr>
          <w:color w:val="auto"/>
          <w:sz w:val="28"/>
          <w:szCs w:val="28"/>
        </w:rPr>
        <w:t xml:space="preserve"> Нижегородской области</w:t>
      </w:r>
      <w:r>
        <w:rPr>
          <w:color w:val="auto"/>
          <w:sz w:val="28"/>
          <w:szCs w:val="28"/>
        </w:rPr>
        <w:t xml:space="preserve"> от 03.03.2015 № 24-З «О стратегическом планировании в Нижегородской области»;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tabs>
          <w:tab w:val="left" w:pos="2700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решением городской Думы города Нижнего Новгорода </w:t>
      </w:r>
      <w:r>
        <w:rPr>
          <w:color w:val="auto"/>
          <w:sz w:val="28"/>
          <w:szCs w:val="28"/>
        </w:rPr>
        <w:t xml:space="preserve">от 22.10.2025 № 49 </w:t>
      </w:r>
      <w:r>
        <w:rPr>
          <w:color w:val="auto"/>
          <w:sz w:val="28"/>
          <w:szCs w:val="28"/>
        </w:rPr>
        <w:t xml:space="preserve">«</w:t>
      </w:r>
      <w:r>
        <w:rPr>
          <w:color w:val="auto"/>
          <w:sz w:val="28"/>
          <w:szCs w:val="28"/>
        </w:rPr>
        <w:t xml:space="preserve">О Положении о бюджетном процессе в муниципальном образовании городской округ город Нижний Новгород»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tabs>
          <w:tab w:val="left" w:pos="2700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постанов</w:t>
      </w:r>
      <w:r>
        <w:rPr>
          <w:color w:val="auto"/>
          <w:sz w:val="28"/>
          <w:szCs w:val="28"/>
        </w:rPr>
        <w:t xml:space="preserve">лением администрации города Нижнего Новгорода от 23.12.2015                          № 2899 «Об утверждении Порядка разработки и корректировки прогноза социально-экономического развития города Нижнего Новгорода на долгосрочный период». 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Основные параметры </w:t>
      </w:r>
      <w:r>
        <w:rPr>
          <w:color w:val="auto"/>
          <w:sz w:val="28"/>
          <w:szCs w:val="28"/>
        </w:rPr>
        <w:t xml:space="preserve">долгосрочного прогноза Нижнего Новгорода, приведенные в разделе 4, спрогнозированы с учетом следующих документов: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проекта прогноза социально-экономического развития города Нижнего Новгорода на 2026 - 2028 гг.;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tabs>
          <w:tab w:val="num" w:pos="0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прогноза социально-экономического развития Российской Федерации на 2026 год и на плановый период 2027 и 2028 годов;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tabs>
          <w:tab w:val="num" w:pos="0" w:leader="none"/>
        </w:tabs>
        <w:rPr>
          <w:bCs/>
          <w:iCs/>
          <w:color w:val="auto"/>
          <w:sz w:val="28"/>
          <w:szCs w:val="32"/>
        </w:rPr>
      </w:pPr>
      <w:r>
        <w:rPr>
          <w:color w:val="auto"/>
          <w:sz w:val="28"/>
          <w:szCs w:val="28"/>
        </w:rPr>
        <w:t xml:space="preserve">основных параметров </w:t>
      </w:r>
      <w:r>
        <w:rPr>
          <w:bCs/>
          <w:iCs/>
          <w:color w:val="auto"/>
          <w:sz w:val="28"/>
          <w:szCs w:val="32"/>
        </w:rPr>
        <w:t xml:space="preserve">прогноза социально-экономического развития Нижегородской области на среднесрочный период</w:t>
      </w:r>
      <w:r>
        <w:rPr>
          <w:color w:val="auto"/>
          <w:sz w:val="28"/>
          <w:szCs w:val="28"/>
        </w:rPr>
        <w:t xml:space="preserve"> </w:t>
      </w:r>
      <w:r>
        <w:rPr>
          <w:bCs/>
          <w:iCs/>
          <w:color w:val="auto"/>
          <w:sz w:val="28"/>
          <w:szCs w:val="32"/>
        </w:rPr>
        <w:t xml:space="preserve">(на 2026 год и на плановый пери</w:t>
      </w:r>
      <w:r>
        <w:rPr>
          <w:bCs/>
          <w:iCs/>
          <w:color w:val="auto"/>
          <w:sz w:val="28"/>
          <w:szCs w:val="32"/>
        </w:rPr>
        <w:t xml:space="preserve">од 2027 и 2027 годов);</w:t>
      </w:r>
      <w:r>
        <w:rPr>
          <w:bCs/>
          <w:iCs/>
          <w:color w:val="auto"/>
          <w:sz w:val="28"/>
          <w:szCs w:val="32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прогноза социально-экономического развития Нижегородской области на долгосрочный период (до 2035 года), утвержденного постановлением Правительства Нижегородской области от 06.02.2019 № 59.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tabs>
          <w:tab w:val="left" w:pos="2700" w:leader="none"/>
        </w:tabs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</w:r>
      <w:r>
        <w:rPr>
          <w:rFonts w:ascii="Calibri" w:hAnsi="Calibri"/>
          <w:color w:val="auto"/>
          <w:sz w:val="28"/>
          <w:szCs w:val="28"/>
        </w:rPr>
      </w:r>
    </w:p>
    <w:p>
      <w:pPr>
        <w:ind w:firstLine="709"/>
        <w:jc w:val="center"/>
        <w:tabs>
          <w:tab w:val="left" w:pos="2700" w:leader="none"/>
        </w:tabs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1. Оценка достигнутого уровня социально-эко</w:t>
      </w:r>
      <w:r>
        <w:rPr>
          <w:b/>
          <w:color w:val="auto"/>
          <w:sz w:val="28"/>
          <w:szCs w:val="28"/>
        </w:rPr>
        <w:t xml:space="preserve">номического развития </w:t>
      </w:r>
      <w:r>
        <w:rPr>
          <w:b/>
          <w:color w:val="auto"/>
          <w:sz w:val="28"/>
          <w:szCs w:val="28"/>
        </w:rPr>
      </w:r>
    </w:p>
    <w:p>
      <w:pPr>
        <w:ind w:firstLine="709"/>
        <w:jc w:val="center"/>
        <w:tabs>
          <w:tab w:val="left" w:pos="2700" w:leader="none"/>
        </w:tabs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города Нижнего Новгорода</w:t>
      </w:r>
      <w:r>
        <w:rPr>
          <w:b/>
          <w:color w:val="auto"/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rFonts w:ascii="Times New Roman CYR" w:hAnsi="Times New Roman CYR"/>
          <w:color w:val="auto"/>
          <w:sz w:val="28"/>
          <w:szCs w:val="28"/>
        </w:rPr>
        <w:t xml:space="preserve">В 2024 году по ключевым показателям </w:t>
      </w:r>
      <w:r>
        <w:rPr>
          <w:color w:val="auto"/>
          <w:sz w:val="28"/>
          <w:szCs w:val="28"/>
        </w:rPr>
        <w:t xml:space="preserve">социально-экономического развития</w:t>
      </w:r>
      <w:r>
        <w:rPr>
          <w:rFonts w:asciiTheme="minorHAnsi" w:hAnsiTheme="minorHAnsi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сложилась положительная динамика. Вли</w:t>
      </w:r>
      <w:r>
        <w:rPr>
          <w:rFonts w:ascii="Times New Roman CYR" w:hAnsi="Times New Roman CYR"/>
          <w:color w:val="auto"/>
          <w:sz w:val="28"/>
          <w:szCs w:val="28"/>
        </w:rPr>
        <w:t xml:space="preserve">яние негативных факторов на экономику </w:t>
      </w:r>
      <w:r>
        <w:rPr>
          <w:color w:val="auto"/>
          <w:sz w:val="28"/>
          <w:szCs w:val="28"/>
        </w:rPr>
        <w:t xml:space="preserve">вследствие</w:t>
      </w:r>
      <w:r>
        <w:rPr>
          <w:rFonts w:ascii="Times New Roman CYR" w:hAnsi="Times New Roman CYR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введенных </w:t>
      </w:r>
      <w:r>
        <w:rPr>
          <w:rFonts w:ascii="Times New Roman CYR" w:hAnsi="Times New Roman CYR"/>
          <w:color w:val="auto"/>
          <w:sz w:val="28"/>
          <w:szCs w:val="28"/>
        </w:rPr>
        <w:t xml:space="preserve">санкций </w:t>
      </w:r>
      <w:r>
        <w:rPr>
          <w:color w:val="auto"/>
          <w:sz w:val="28"/>
          <w:szCs w:val="28"/>
        </w:rPr>
        <w:t xml:space="preserve">постепенно</w:t>
      </w:r>
      <w:r>
        <w:rPr>
          <w:rFonts w:asciiTheme="minorHAnsi" w:hAnsiTheme="minorHAnsi"/>
          <w:color w:val="auto"/>
          <w:sz w:val="28"/>
          <w:szCs w:val="28"/>
        </w:rPr>
        <w:t xml:space="preserve"> </w:t>
      </w:r>
      <w:r>
        <w:rPr>
          <w:rFonts w:ascii="Times New Roman CYR" w:hAnsi="Times New Roman CYR"/>
          <w:color w:val="auto"/>
          <w:sz w:val="28"/>
          <w:szCs w:val="28"/>
        </w:rPr>
        <w:t xml:space="preserve">компенсировалось з</w:t>
      </w:r>
      <w:r>
        <w:rPr>
          <w:rFonts w:ascii="Times New Roman CYR" w:hAnsi="Times New Roman CYR"/>
          <w:color w:val="auto"/>
          <w:sz w:val="28"/>
          <w:szCs w:val="28"/>
        </w:rPr>
        <w:t xml:space="preserve">а счет импортозамещения, переориентации </w:t>
      </w:r>
      <w:r>
        <w:rPr>
          <w:color w:val="auto"/>
          <w:sz w:val="28"/>
          <w:szCs w:val="28"/>
        </w:rPr>
        <w:t xml:space="preserve">экспорта, выстраивания новых производственных, логистических, торговых цепочек </w:t>
      </w:r>
      <w:r>
        <w:rPr>
          <w:rFonts w:ascii="Times New Roman CYR" w:hAnsi="Times New Roman CYR"/>
          <w:color w:val="auto"/>
          <w:sz w:val="28"/>
          <w:szCs w:val="28"/>
        </w:rPr>
        <w:t xml:space="preserve">и развития параллельного импорта. 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rFonts w:asciiTheme="minorHAnsi" w:hAnsiTheme="minorHAnsi"/>
          <w:color w:val="auto"/>
        </w:rPr>
      </w:pPr>
      <w:r>
        <w:rPr>
          <w:rFonts w:ascii="Times New Roman CYR" w:hAnsi="Times New Roman CYR"/>
          <w:color w:val="auto"/>
          <w:sz w:val="28"/>
          <w:szCs w:val="28"/>
        </w:rPr>
        <w:t xml:space="preserve">Для развития экономики </w:t>
      </w:r>
      <w:r>
        <w:rPr>
          <w:color w:val="auto"/>
          <w:sz w:val="28"/>
          <w:szCs w:val="28"/>
        </w:rPr>
        <w:t xml:space="preserve">применялись</w:t>
      </w:r>
      <w:r>
        <w:rPr>
          <w:rFonts w:ascii="Times New Roman CYR" w:hAnsi="Times New Roman CYR"/>
          <w:color w:val="auto"/>
          <w:sz w:val="28"/>
          <w:szCs w:val="28"/>
        </w:rPr>
        <w:t xml:space="preserve"> различные меры поддержки</w:t>
      </w:r>
      <w:r>
        <w:rPr>
          <w:color w:val="auto"/>
          <w:sz w:val="28"/>
          <w:szCs w:val="28"/>
        </w:rPr>
        <w:t xml:space="preserve">, в том числе</w:t>
      </w:r>
      <w:r>
        <w:rPr>
          <w:rFonts w:asciiTheme="minorHAnsi" w:hAnsiTheme="minorHAnsi"/>
          <w:color w:val="auto"/>
          <w:sz w:val="28"/>
          <w:szCs w:val="28"/>
        </w:rPr>
        <w:t xml:space="preserve"> </w:t>
      </w:r>
      <w:r>
        <w:rPr>
          <w:rFonts w:ascii="Times New Roman CYR" w:hAnsi="Times New Roman CYR"/>
          <w:color w:val="auto"/>
          <w:sz w:val="28"/>
          <w:szCs w:val="28"/>
        </w:rPr>
        <w:t xml:space="preserve">направленные на </w:t>
      </w:r>
      <w:r>
        <w:rPr>
          <w:color w:val="auto"/>
          <w:sz w:val="28"/>
          <w:szCs w:val="28"/>
        </w:rPr>
        <w:t xml:space="preserve">реализацию</w:t>
      </w:r>
      <w:r>
        <w:rPr>
          <w:rFonts w:asciiTheme="minorHAnsi" w:hAnsiTheme="minorHAnsi"/>
          <w:color w:val="auto"/>
        </w:rPr>
        <w:t xml:space="preserve"> </w:t>
      </w:r>
      <w:r>
        <w:rPr>
          <w:rFonts w:ascii="Times New Roman CYR" w:hAnsi="Times New Roman CYR"/>
          <w:color w:val="auto"/>
          <w:sz w:val="28"/>
          <w:szCs w:val="28"/>
        </w:rPr>
        <w:t xml:space="preserve">ин</w:t>
      </w:r>
      <w:r>
        <w:rPr>
          <w:rFonts w:ascii="Times New Roman CYR" w:hAnsi="Times New Roman CYR"/>
          <w:color w:val="auto"/>
          <w:sz w:val="28"/>
          <w:szCs w:val="28"/>
        </w:rPr>
        <w:t xml:space="preserve">вестиционных высокотехнологичных проектов</w:t>
      </w:r>
      <w:r>
        <w:rPr>
          <w:rFonts w:asciiTheme="minorHAnsi" w:hAnsiTheme="minorHAnsi"/>
          <w:color w:val="auto"/>
          <w:sz w:val="28"/>
          <w:szCs w:val="28"/>
        </w:rPr>
        <w:t xml:space="preserve">,</w:t>
      </w:r>
      <w:r>
        <w:rPr>
          <w:rFonts w:ascii="Times New Roman CYR" w:hAnsi="Times New Roman CYR"/>
          <w:color w:val="auto"/>
          <w:sz w:val="28"/>
          <w:szCs w:val="28"/>
        </w:rPr>
        <w:t xml:space="preserve"> внедрение перспективных технологий</w:t>
      </w:r>
      <w:r>
        <w:rPr>
          <w:rFonts w:asciiTheme="minorHAnsi" w:hAnsiTheme="minorHAnsi"/>
          <w:color w:val="auto"/>
          <w:sz w:val="28"/>
          <w:szCs w:val="28"/>
        </w:rPr>
        <w:t xml:space="preserve">, </w:t>
      </w:r>
      <w:r>
        <w:rPr>
          <w:rFonts w:ascii="Times New Roman CYR" w:hAnsi="Times New Roman CYR"/>
          <w:color w:val="auto"/>
          <w:sz w:val="28"/>
          <w:szCs w:val="28"/>
        </w:rPr>
        <w:t xml:space="preserve">производство новой конкурентоспособной и импортозамещающей продукции.</w:t>
      </w:r>
      <w:r>
        <w:rPr>
          <w:rFonts w:asciiTheme="minorHAnsi" w:hAnsiTheme="minorHAnsi"/>
          <w:color w:val="auto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итогам 2024 года объем отгруженной продукции, выполненных работ и услуг по полному кругу предприятий уве</w:t>
      </w:r>
      <w:r>
        <w:rPr>
          <w:color w:val="auto"/>
          <w:sz w:val="28"/>
          <w:szCs w:val="28"/>
        </w:rPr>
        <w:t xml:space="preserve">личился на 15,3% в действующих ценах и составил 2 122,9 млрд. рублей (</w:t>
      </w:r>
      <w:r>
        <w:rPr>
          <w:i/>
          <w:color w:val="auto"/>
          <w:sz w:val="28"/>
          <w:szCs w:val="28"/>
        </w:rPr>
        <w:t xml:space="preserve">7,1% в сопоставимых ценах</w:t>
      </w:r>
      <w:r>
        <w:rPr>
          <w:color w:val="auto"/>
          <w:sz w:val="28"/>
          <w:szCs w:val="28"/>
        </w:rPr>
        <w:t xml:space="preserve">). Данная динамика в основном обусловлена ростом объемов в базовых секторах экономики города – «торговля оптовая и розничная, ремонт автотранспортных средств и м</w:t>
      </w:r>
      <w:r>
        <w:rPr>
          <w:color w:val="auto"/>
          <w:sz w:val="28"/>
          <w:szCs w:val="28"/>
        </w:rPr>
        <w:t xml:space="preserve">отоциклов»</w:t>
      </w:r>
      <w:r>
        <w:rPr>
          <w:color w:val="auto"/>
        </w:rPr>
        <w:t xml:space="preserve"> </w:t>
      </w:r>
      <w:r>
        <w:rPr>
          <w:color w:val="auto"/>
          <w:sz w:val="28"/>
          <w:szCs w:val="28"/>
        </w:rPr>
        <w:t xml:space="preserve">(на 33,9%), «водоснабжение, водоотведение, организация сбора и утилизация отходов» (на 28,8%), «обрабатывающие производства» (на 21,6%) и пр.</w:t>
      </w:r>
      <w:r>
        <w:rPr>
          <w:color w:val="auto"/>
          <w:sz w:val="28"/>
          <w:szCs w:val="28"/>
        </w:rPr>
      </w:r>
    </w:p>
    <w:p>
      <w:pPr>
        <w:ind w:firstLine="720"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 xml:space="preserve">Доля продукции, произведенной малыми предприятиями, в общем объеме отгруженной продукции всей экономики</w:t>
      </w:r>
      <w:r>
        <w:rPr>
          <w:iCs/>
          <w:color w:val="auto"/>
          <w:sz w:val="28"/>
          <w:szCs w:val="28"/>
        </w:rPr>
        <w:t xml:space="preserve"> города по итогам 2024 года составила 25%. Малые предприятия представлены практически во всех секторах экономики города, но наибольшую долю малый бизнес традиционно занимает в таких ключевых видах деятельности, как «торговля оптовая и розничная, ремонт авт</w:t>
      </w:r>
      <w:r>
        <w:rPr>
          <w:iCs/>
          <w:color w:val="auto"/>
          <w:sz w:val="28"/>
          <w:szCs w:val="28"/>
        </w:rPr>
        <w:t xml:space="preserve">отранспортных средств и мотоциклов» (87,6%) и «строительство» (68,7%).</w:t>
      </w:r>
      <w:r>
        <w:rPr>
          <w:iCs/>
          <w:color w:val="auto"/>
          <w:sz w:val="28"/>
          <w:szCs w:val="28"/>
        </w:rPr>
      </w:r>
    </w:p>
    <w:p>
      <w:pPr>
        <w:ind w:firstLine="720"/>
        <w:jc w:val="both"/>
        <w:rPr>
          <w:i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Объем отгруженной продукции, выполненных работ и услуг по кругу крупных и средних предприятий увеличился в 2024 году на 14,1% в действующих ценах </w:t>
      </w:r>
      <w:r>
        <w:rPr>
          <w:i/>
          <w:color w:val="auto"/>
          <w:sz w:val="28"/>
          <w:szCs w:val="28"/>
        </w:rPr>
        <w:t xml:space="preserve">(на 6,1% в сопоставимых ценах).</w:t>
      </w:r>
      <w:r>
        <w:rPr>
          <w:i/>
          <w:color w:val="auto"/>
          <w:sz w:val="28"/>
          <w:szCs w:val="28"/>
        </w:rPr>
      </w:r>
    </w:p>
    <w:p>
      <w:pPr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Основно</w:t>
      </w:r>
      <w:r>
        <w:rPr>
          <w:color w:val="auto"/>
          <w:sz w:val="28"/>
          <w:szCs w:val="28"/>
        </w:rPr>
        <w:t xml:space="preserve">й объем </w:t>
      </w:r>
      <w:r>
        <w:rPr>
          <w:i/>
          <w:color w:val="auto"/>
          <w:sz w:val="28"/>
          <w:szCs w:val="28"/>
        </w:rPr>
        <w:t xml:space="preserve">прибыли</w:t>
      </w:r>
      <w:r>
        <w:rPr>
          <w:color w:val="auto"/>
          <w:sz w:val="28"/>
          <w:szCs w:val="28"/>
        </w:rPr>
        <w:t xml:space="preserve"> по крупным и средним предприятиям был сформирован в секторах: «деятельность профессиональная, научная и техническая» (35,6%), «обрабатывающие производства» (22,5%), «торговля оптовая и розничная» (21,1%), «обеспечение электрической энергией</w:t>
      </w:r>
      <w:r>
        <w:rPr>
          <w:color w:val="auto"/>
          <w:sz w:val="28"/>
          <w:szCs w:val="28"/>
        </w:rPr>
        <w:t xml:space="preserve">, газом и  паром, кондиционирование воздуха» (7,6%),«транспортировка и хранение» (6,4%).</w:t>
      </w:r>
      <w:r>
        <w:rPr>
          <w:color w:val="auto"/>
          <w:sz w:val="28"/>
          <w:szCs w:val="28"/>
        </w:rPr>
      </w:r>
    </w:p>
    <w:p>
      <w:pPr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Среди ведущих секторов наибольший рост прибыли сложился в таких видах экономической деятельности, как «деятельность профессиональная, научная и техническая» – на 29,1%</w:t>
      </w:r>
      <w:r>
        <w:rPr>
          <w:color w:val="auto"/>
          <w:sz w:val="28"/>
          <w:szCs w:val="28"/>
        </w:rPr>
        <w:t xml:space="preserve">, в «оптовой и розничной торговле» на 18,7%, «обеспечении электрической энергией, газом и паром» на 1,1%. Значительный рирост прибыли предприятий был отмечен в секторе «строительство» на 59,9%.</w:t>
      </w:r>
      <w:r>
        <w:rPr>
          <w:color w:val="auto"/>
          <w:sz w:val="28"/>
          <w:szCs w:val="28"/>
        </w:rPr>
      </w:r>
    </w:p>
    <w:p>
      <w:pPr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итогам 2024 года крупными и средними организациями города б</w:t>
      </w:r>
      <w:r>
        <w:rPr>
          <w:color w:val="auto"/>
          <w:sz w:val="28"/>
          <w:szCs w:val="28"/>
        </w:rPr>
        <w:t xml:space="preserve">ыл получен положительный сальдированный финансовый результат 325,2 млрд. руб. Рост положительного сальдированного результата произошел за счет увеличения суммы прибыли на 8,5%.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На фоне «высокой базы» предыдущего года </w:t>
      </w:r>
      <w:r>
        <w:rPr>
          <w:rFonts w:eastAsia="Times New Roman"/>
          <w:i/>
          <w:color w:val="auto"/>
          <w:sz w:val="28"/>
          <w:szCs w:val="28"/>
        </w:rPr>
        <w:t xml:space="preserve">объем инвестиций в основной капитал</w:t>
      </w:r>
      <w:r>
        <w:rPr>
          <w:rFonts w:eastAsia="Times New Roman"/>
          <w:color w:val="auto"/>
          <w:sz w:val="28"/>
          <w:szCs w:val="28"/>
        </w:rPr>
        <w:t xml:space="preserve"> по полному кругу организаций в 2024 году снизился на 7% в сопоставимых ценах. Продолжилась тенденция к сокращению объема инвестиционных вложений за счет бюджетных источников, в 2024 году их доля составила 25,8% (</w:t>
      </w:r>
      <w:r>
        <w:rPr>
          <w:rFonts w:eastAsia="Times New Roman"/>
          <w:i/>
          <w:iCs/>
          <w:color w:val="auto"/>
          <w:sz w:val="28"/>
          <w:szCs w:val="28"/>
        </w:rPr>
        <w:t xml:space="preserve">в 2023 - 44,7%, </w:t>
      </w:r>
      <w:r>
        <w:rPr>
          <w:rFonts w:eastAsia="Times New Roman"/>
          <w:i/>
          <w:color w:val="auto"/>
          <w:sz w:val="28"/>
          <w:szCs w:val="28"/>
        </w:rPr>
        <w:t xml:space="preserve">в 2022 -</w:t>
      </w:r>
      <w:r>
        <w:rPr>
          <w:rFonts w:eastAsia="Times New Roman"/>
          <w:color w:val="auto"/>
          <w:sz w:val="28"/>
          <w:szCs w:val="28"/>
        </w:rPr>
        <w:t xml:space="preserve"> </w:t>
      </w:r>
      <w:r>
        <w:rPr>
          <w:rFonts w:eastAsia="Times New Roman"/>
          <w:i/>
          <w:iCs/>
          <w:color w:val="auto"/>
          <w:sz w:val="28"/>
          <w:szCs w:val="28"/>
        </w:rPr>
        <w:t xml:space="preserve">58%</w:t>
      </w:r>
      <w:r>
        <w:rPr>
          <w:rFonts w:eastAsia="Times New Roman"/>
          <w:color w:val="auto"/>
          <w:sz w:val="28"/>
          <w:szCs w:val="28"/>
        </w:rPr>
        <w:t xml:space="preserve">).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Основной объ</w:t>
      </w:r>
      <w:r>
        <w:rPr>
          <w:rFonts w:eastAsia="Times New Roman"/>
          <w:color w:val="auto"/>
          <w:sz w:val="28"/>
          <w:szCs w:val="28"/>
        </w:rPr>
        <w:t xml:space="preserve">ем инвестиций крупными и средними организациями был сформирован в следующих видах экономической деятельности: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«транспортировка и хранение» -25,2%;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«обрабатывающие производства» -18,3%, 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«строительство» -16,8%.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Среди ведущих секторов наибольший рост объема </w:t>
      </w:r>
      <w:r>
        <w:rPr>
          <w:rFonts w:eastAsia="Times New Roman"/>
          <w:color w:val="auto"/>
          <w:sz w:val="28"/>
          <w:szCs w:val="28"/>
        </w:rPr>
        <w:t xml:space="preserve">инвестиций в основной капитал в 2024 году сложился в таких видах экономической деятельности, как «деятельность административная и сопутствующие дополнительные услуги» – в 2,5 раза,  «строительство» – на 88%, «обрабатывающая промышленность»  – на 60%, «тран</w:t>
      </w:r>
      <w:r>
        <w:rPr>
          <w:rFonts w:eastAsia="Times New Roman"/>
          <w:color w:val="auto"/>
          <w:sz w:val="28"/>
          <w:szCs w:val="28"/>
        </w:rPr>
        <w:t xml:space="preserve">спортировка и хранение» – на 54%. 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Демографическая ситуация. </w:t>
      </w:r>
      <w:r>
        <w:rPr>
          <w:color w:val="auto"/>
          <w:sz w:val="28"/>
          <w:szCs w:val="28"/>
        </w:rPr>
        <w:t xml:space="preserve">В последние годы в Нижнем Новгороде фиксируется абсолютная убыль населения, что влечет за собой снижение численности населения города. Естественная убыль населения в течение 2024 года составила 7</w:t>
      </w:r>
      <w:r>
        <w:rPr>
          <w:color w:val="auto"/>
          <w:sz w:val="28"/>
          <w:szCs w:val="28"/>
        </w:rPr>
        <w:t xml:space="preserve"> тыс. человек. К началу текущего года численность населения городского округа составила  – 1 222,2 тыс. человек.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 xml:space="preserve">В течение 2024 года ситуация на рынке труда</w:t>
      </w:r>
      <w:r>
        <w:rPr>
          <w:color w:val="auto"/>
          <w:sz w:val="28"/>
          <w:szCs w:val="28"/>
        </w:rPr>
        <w:t xml:space="preserve"> сохранила</w:t>
      </w:r>
      <w:r>
        <w:rPr>
          <w:i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положительную динамику</w:t>
      </w:r>
      <w:r>
        <w:rPr>
          <w:iCs/>
          <w:color w:val="auto"/>
          <w:sz w:val="28"/>
          <w:szCs w:val="28"/>
        </w:rPr>
        <w:t xml:space="preserve">.</w:t>
      </w:r>
      <w:r>
        <w:rPr>
          <w:color w:val="auto"/>
          <w:sz w:val="28"/>
          <w:szCs w:val="28"/>
        </w:rPr>
        <w:t xml:space="preserve"> Уровень официально зарегистрированной безработицы снизился до </w:t>
      </w:r>
      <w:r>
        <w:rPr>
          <w:color w:val="auto"/>
          <w:sz w:val="28"/>
          <w:szCs w:val="28"/>
        </w:rPr>
        <w:t xml:space="preserve">рекордного за последние годы уровня и к концу года составил 0,05%. Официально зарегистрированы в службе занятости на конец декабря 2024 года были 349 безработных.</w:t>
      </w:r>
      <w:r>
        <w:rPr>
          <w:iCs/>
          <w:color w:val="auto"/>
          <w:sz w:val="28"/>
          <w:szCs w:val="28"/>
        </w:rPr>
        <w:t xml:space="preserve"> Коэффициент напряженности на р</w:t>
      </w:r>
      <w:r>
        <w:rPr>
          <w:iCs/>
          <w:color w:val="auto"/>
          <w:sz w:val="28"/>
          <w:szCs w:val="28"/>
        </w:rPr>
        <w:t xml:space="preserve">ынке труда составил 0,02%.</w:t>
      </w:r>
      <w:r>
        <w:rPr>
          <w:color w:val="auto"/>
          <w:sz w:val="28"/>
          <w:szCs w:val="28"/>
        </w:rPr>
      </w:r>
    </w:p>
    <w:p>
      <w:pPr>
        <w:pStyle w:val="953"/>
        <w:ind w:firstLine="709"/>
        <w:jc w:val="both"/>
        <w:rPr>
          <w:color w:val="auto"/>
          <w:szCs w:val="28"/>
          <w:lang w:val="ru-RU"/>
        </w:rPr>
      </w:pPr>
      <w:r>
        <w:rPr>
          <w:szCs w:val="28"/>
          <w:lang w:val="ru-RU"/>
        </w:rPr>
        <w:t xml:space="preserve">Высокий уровень экономической активности сопровождался ростом спроса на трудовые ресурсы и связанным с ним существенным ростом зарплат. </w:t>
      </w:r>
      <w:r>
        <w:rPr>
          <w:color w:val="auto"/>
          <w:szCs w:val="28"/>
          <w:lang w:val="ru-RU"/>
        </w:rPr>
        <w:t xml:space="preserve">Размер </w:t>
      </w:r>
      <w:r>
        <w:rPr>
          <w:i/>
          <w:color w:val="auto"/>
          <w:szCs w:val="28"/>
          <w:lang w:val="ru-RU"/>
        </w:rPr>
        <w:t xml:space="preserve">среднемесячной заработной платы</w:t>
      </w:r>
      <w:r>
        <w:rPr>
          <w:color w:val="auto"/>
          <w:szCs w:val="28"/>
          <w:lang w:val="ru-RU"/>
        </w:rPr>
        <w:t xml:space="preserve"> по полному кругу организаций в 2024 году составил 79,5</w:t>
      </w:r>
      <w:r>
        <w:rPr>
          <w:color w:val="auto"/>
          <w:szCs w:val="28"/>
          <w:lang w:val="ru-RU"/>
        </w:rPr>
        <w:t xml:space="preserve"> тыс. рублей. В реальном выражении заработная плата увеличилась на 14,4%. </w:t>
      </w:r>
      <w:r>
        <w:rPr>
          <w:color w:val="auto"/>
          <w:szCs w:val="28"/>
          <w:lang w:val="ru-RU"/>
        </w:rPr>
      </w:r>
    </w:p>
    <w:p>
      <w:pPr>
        <w:ind w:right="-58" w:firstLine="709"/>
        <w:jc w:val="both"/>
        <w:shd w:val="clear" w:color="auto" w:fill="ffffff"/>
        <w:rPr>
          <w:rFonts w:ascii="Times New Roman CYR" w:hAnsi="Times New Roman CYR"/>
          <w:color w:val="auto"/>
          <w:sz w:val="28"/>
          <w:szCs w:val="28"/>
        </w:rPr>
      </w:pPr>
      <w:r>
        <w:rPr>
          <w:rFonts w:ascii="Times New Roman CYR" w:hAnsi="Times New Roman CYR"/>
          <w:color w:val="auto"/>
          <w:sz w:val="28"/>
          <w:szCs w:val="28"/>
        </w:rPr>
        <w:t xml:space="preserve">Емкость потребительского рынка (сумма оборота розничной торговли, общественного питания и платных услуг по крупным и средним организациям) за 2024 год составила 551,3 млрд.руб. </w:t>
      </w:r>
      <w:r>
        <w:rPr>
          <w:rFonts w:ascii="Times New Roman CYR" w:hAnsi="Times New Roman CYR"/>
          <w:color w:val="auto"/>
          <w:sz w:val="28"/>
          <w:szCs w:val="28"/>
        </w:rPr>
      </w:r>
    </w:p>
    <w:p>
      <w:pPr>
        <w:ind w:left="28" w:right="28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Обо</w:t>
      </w:r>
      <w:r>
        <w:rPr>
          <w:color w:val="auto"/>
          <w:sz w:val="28"/>
          <w:szCs w:val="28"/>
        </w:rPr>
        <w:t xml:space="preserve">рот розничной торговли (по крупным и средним организациям) по итогам года составил </w:t>
      </w:r>
      <w:r>
        <w:rPr>
          <w:rFonts w:ascii="Times New Roman CYR" w:hAnsi="Times New Roman CYR"/>
          <w:color w:val="auto"/>
          <w:sz w:val="28"/>
          <w:szCs w:val="28"/>
        </w:rPr>
        <w:t xml:space="preserve">405,7 </w:t>
      </w:r>
      <w:r>
        <w:rPr>
          <w:color w:val="auto"/>
          <w:sz w:val="28"/>
          <w:szCs w:val="28"/>
        </w:rPr>
        <w:t xml:space="preserve">млрд. руб., оборот общественного питания (по крупным и средним организациям) – 12,5 млрд. рублей. Их уровень в  </w:t>
      </w:r>
      <w:r>
        <w:rPr>
          <w:rFonts w:ascii="Times New Roman CYR" w:hAnsi="Times New Roman CYR"/>
          <w:color w:val="auto"/>
          <w:sz w:val="28"/>
          <w:szCs w:val="28"/>
        </w:rPr>
        <w:t xml:space="preserve"> сопоставимой оценке увеличился к прошлому году на 12,4%</w:t>
      </w:r>
      <w:r>
        <w:rPr>
          <w:color w:val="auto"/>
          <w:sz w:val="28"/>
          <w:szCs w:val="28"/>
        </w:rPr>
        <w:t xml:space="preserve"> и 25,5% соответственно. Объем платных услуг населению (по крупным и средним организациям) составил </w:t>
      </w:r>
      <w:r>
        <w:rPr>
          <w:rFonts w:ascii="Times New Roman CYR" w:hAnsi="Times New Roman CYR"/>
          <w:color w:val="auto"/>
          <w:sz w:val="28"/>
          <w:szCs w:val="28"/>
        </w:rPr>
        <w:t xml:space="preserve">133,1 </w:t>
      </w:r>
      <w:r>
        <w:rPr>
          <w:color w:val="auto"/>
          <w:sz w:val="28"/>
          <w:szCs w:val="28"/>
        </w:rPr>
        <w:t xml:space="preserve">млрд. руб., (рост к предыдущему году </w:t>
      </w:r>
      <w:r>
        <w:rPr>
          <w:rFonts w:ascii="Times New Roman CYR" w:hAnsi="Times New Roman CYR"/>
          <w:color w:val="auto"/>
          <w:sz w:val="28"/>
          <w:szCs w:val="28"/>
        </w:rPr>
        <w:t xml:space="preserve">101,3% в сопоставимых ценах)</w:t>
      </w:r>
      <w:r>
        <w:rPr>
          <w:color w:val="auto"/>
          <w:sz w:val="28"/>
          <w:szCs w:val="28"/>
        </w:rPr>
        <w:t xml:space="preserve">.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rFonts w:asciiTheme="minorHAnsi" w:hAnsiTheme="minorHAnsi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Социально-экономическое раз</w:t>
      </w:r>
      <w:r>
        <w:rPr>
          <w:color w:val="auto"/>
          <w:sz w:val="28"/>
          <w:szCs w:val="28"/>
        </w:rPr>
        <w:t xml:space="preserve">витие в текущем году происходит в условиях сохранения санкций, </w:t>
      </w:r>
      <w:r>
        <w:rPr>
          <w:rFonts w:ascii="Times New Roman CYR" w:hAnsi="Times New Roman CYR"/>
          <w:color w:val="auto"/>
          <w:sz w:val="28"/>
          <w:szCs w:val="28"/>
        </w:rPr>
        <w:t xml:space="preserve">высокого значения ключевой ставки, затрудняющей доступ к кредитам</w:t>
      </w:r>
      <w:r>
        <w:rPr>
          <w:rFonts w:asciiTheme="minorHAnsi" w:hAnsiTheme="minorHAnsi"/>
          <w:color w:val="auto"/>
          <w:sz w:val="28"/>
          <w:szCs w:val="28"/>
        </w:rPr>
        <w:t xml:space="preserve">,</w:t>
      </w:r>
      <w:r>
        <w:rPr>
          <w:rFonts w:ascii="Times New Roman CYR" w:hAnsi="Times New Roman CYR"/>
          <w:color w:val="auto"/>
          <w:sz w:val="28"/>
          <w:szCs w:val="28"/>
        </w:rPr>
        <w:t xml:space="preserve"> и дефицита квалифицированных кадров по отдельным отраслям.  </w:t>
      </w:r>
      <w:r>
        <w:rPr>
          <w:rFonts w:asciiTheme="minorHAnsi" w:hAnsiTheme="minorHAnsi"/>
          <w:color w:val="auto"/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оценке объем продукции, отгруженной по полному кругу, к концу </w:t>
      </w:r>
      <w:r>
        <w:rPr>
          <w:color w:val="auto"/>
          <w:sz w:val="28"/>
          <w:szCs w:val="28"/>
        </w:rPr>
        <w:t xml:space="preserve">2025 года составит 2 277,2 млрд. рублей, что будет на 7,3% выше объема прошлого года (в сопоставимых ценах – 98,5%).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По итогам 2025 года ожидается рост </w:t>
      </w:r>
      <w:r>
        <w:rPr>
          <w:rFonts w:eastAsia="Times New Roman"/>
          <w:color w:val="auto"/>
          <w:sz w:val="28"/>
          <w:szCs w:val="28"/>
          <w:highlight w:val="white"/>
        </w:rPr>
        <w:t xml:space="preserve">объема инвестиций до 296 млрд. рублей, что составляет 103,5% к прошлому году в сопоставимых ценах.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Ожида</w:t>
      </w:r>
      <w:r>
        <w:rPr>
          <w:rFonts w:eastAsia="Times New Roman"/>
          <w:color w:val="auto"/>
          <w:sz w:val="28"/>
          <w:szCs w:val="28"/>
        </w:rPr>
        <w:t xml:space="preserve">ется снижение объема прибыли предприятий города Нижнего Новгорода на 28,5%. 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Сохранение позитивных тенденций в текущем году ожидается и на потребительском рынке.  По оценке объемы розничного товарооборота и платных услуг в 2025 году будут выше уровня прошл</w:t>
      </w:r>
      <w:r>
        <w:rPr>
          <w:color w:val="auto"/>
          <w:sz w:val="28"/>
          <w:szCs w:val="28"/>
        </w:rPr>
        <w:t xml:space="preserve">ого года в сопоставимых ценах на 5% и 3,5% соответственно. Объем оборота общественного питания по оценке в сопоставимых ценах останется на уровне 2024 года.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Положительная динамика данных показателей поддерживается сохраняющимся ростом реальной заработной п</w:t>
      </w:r>
      <w:r>
        <w:rPr>
          <w:color w:val="auto"/>
          <w:sz w:val="28"/>
          <w:szCs w:val="28"/>
        </w:rPr>
        <w:t xml:space="preserve">латы. В 2025 году ожидается увеличение размера среднемесячной заработной платы по полному кругу организаций, который по оценке составит 91,9 тыс. рублей.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Рост реальной заработной платы по итогам года оценивается на уровне 6,1%. </w:t>
      </w:r>
      <w:r>
        <w:rPr>
          <w:color w:val="000000" w:themeColor="text1"/>
        </w:rPr>
      </w:r>
    </w:p>
    <w:p>
      <w:pPr>
        <w:ind w:firstLine="709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</w:r>
    </w:p>
    <w:p>
      <w:pPr>
        <w:ind w:firstLine="709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</w:r>
    </w:p>
    <w:p>
      <w:pPr>
        <w:ind w:firstLine="709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</w:r>
    </w:p>
    <w:p>
      <w:pPr>
        <w:ind w:firstLine="709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</w:r>
    </w:p>
    <w:p>
      <w:pPr>
        <w:ind w:firstLine="709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</w:r>
    </w:p>
    <w:p>
      <w:pPr>
        <w:ind w:firstLine="709"/>
        <w:jc w:val="center"/>
        <w:rPr>
          <w:b/>
          <w:bCs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2. Определение вариант</w:t>
      </w:r>
      <w:r>
        <w:rPr>
          <w:b/>
          <w:color w:val="auto"/>
          <w:sz w:val="28"/>
          <w:szCs w:val="28"/>
        </w:rPr>
        <w:t xml:space="preserve">ов социально-экономического развития </w:t>
      </w:r>
      <w:r>
        <w:rPr>
          <w:b/>
          <w:bCs/>
          <w:color w:val="auto"/>
          <w:sz w:val="28"/>
          <w:szCs w:val="28"/>
        </w:rPr>
      </w:r>
    </w:p>
    <w:p>
      <w:pPr>
        <w:ind w:firstLine="70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города Нижнего Новгорода на долгосрочный период</w:t>
      </w:r>
      <w:r>
        <w:rPr>
          <w:b/>
          <w:color w:val="auto"/>
          <w:sz w:val="28"/>
          <w:szCs w:val="28"/>
        </w:rPr>
      </w:r>
    </w:p>
    <w:p>
      <w:pPr>
        <w:ind w:firstLine="709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Долгосрочный прогноз города Нижнего Новгорода разработан на основе текущих внутренних и внешних тенденций в двух вариантах – базовом и целевом. 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tabs>
          <w:tab w:val="num" w:pos="0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Кроме того, прогноз сформирован с учетом показателей г. Нижнего Новгорода и Кстовского муниципального округа, в связи с принятием Закона Нижегородской области от 04.04.2025 № 45-З «О преобразовании муниципальных образований - городской округ город Нижний Н</w:t>
      </w:r>
      <w:r>
        <w:rPr>
          <w:color w:val="auto"/>
          <w:sz w:val="28"/>
          <w:szCs w:val="28"/>
        </w:rPr>
        <w:t xml:space="preserve">овгород и Кстовский муниципальный округ Нижегородской области путем их объединения и наделения вновь образованного муниципального образования статусом городского округа».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tabs>
          <w:tab w:val="num" w:pos="0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Базовый вариант прогноза характеризуется умеренными темпами роста экономики при сохра</w:t>
      </w:r>
      <w:r>
        <w:rPr>
          <w:color w:val="auto"/>
          <w:sz w:val="28"/>
          <w:szCs w:val="28"/>
        </w:rPr>
        <w:t xml:space="preserve">нении в среднесрочном периоде неблагоприятного влияния внешних факторов с учетом реализации мер внутренней экономической политики, направленных на структурные изменения экономики в новых условиях, а также реализации новых национальных проектов, охватывающи</w:t>
      </w:r>
      <w:r>
        <w:rPr>
          <w:color w:val="auto"/>
          <w:sz w:val="28"/>
          <w:szCs w:val="28"/>
        </w:rPr>
        <w:t xml:space="preserve">х приоритетные направления социально-экономического развития и направленных на достижение национальных целей развития, предусмотренных указом </w:t>
      </w:r>
      <w:r>
        <w:rPr>
          <w:rFonts w:eastAsia="Times New Roman"/>
          <w:color w:val="auto"/>
          <w:sz w:val="28"/>
          <w:szCs w:val="28"/>
        </w:rPr>
        <w:t xml:space="preserve">Президента Российской Федерации от 07.05.2024 № 309 «О национальных целях развития Российской Федерации на период </w:t>
      </w:r>
      <w:r>
        <w:rPr>
          <w:rFonts w:eastAsia="Times New Roman"/>
          <w:color w:val="auto"/>
          <w:sz w:val="28"/>
          <w:szCs w:val="28"/>
        </w:rPr>
        <w:t xml:space="preserve">до 2030 года и на перспективу до 2036 года»</w:t>
      </w:r>
      <w:r>
        <w:rPr>
          <w:color w:val="auto"/>
          <w:sz w:val="28"/>
          <w:szCs w:val="28"/>
        </w:rPr>
        <w:t xml:space="preserve">.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auto"/>
          <w:sz w:val="28"/>
          <w:szCs w:val="28"/>
        </w:rPr>
        <w:t xml:space="preserve">Экономический рост в прогнозируемом периоде будет обеспечиваться з</w:t>
      </w:r>
      <w:r>
        <w:rPr>
          <w:color w:val="auto"/>
          <w:sz w:val="28"/>
          <w:szCs w:val="28"/>
        </w:rPr>
        <w:t xml:space="preserve">а счет развития инноваций, увеличения производства высокотехнологичной и наукоемкой продукции и модернизации производств. В прогнозируемом периоде среднегодовые темпы роста объемов отгруженной предприятиями города продукции, выполненных работ и услуг, согл</w:t>
      </w:r>
      <w:r>
        <w:rPr>
          <w:color w:val="auto"/>
          <w:sz w:val="28"/>
          <w:szCs w:val="28"/>
        </w:rPr>
        <w:t xml:space="preserve">асно данному варианту, оцениваются в пределах 103 – 103,4%, инвестиций в основной капитал –</w:t>
      </w:r>
      <w:r>
        <w:rPr>
          <w:color w:val="1f497d" w:themeColor="text2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103-105,4%.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Целевой вариант ориентирован на решение задач ускоренного развития на основе более эффективной реализации структурных мер экономической политики и, соот</w:t>
      </w:r>
      <w:r>
        <w:rPr>
          <w:color w:val="000000" w:themeColor="text1"/>
          <w:sz w:val="28"/>
          <w:szCs w:val="28"/>
        </w:rPr>
        <w:t xml:space="preserve">ветственно, предполагает более высокую динамику экономического роста по ключевым показателям</w:t>
      </w:r>
      <w:r>
        <w:rPr>
          <w:rFonts w:ascii="Calibri" w:hAnsi="Calibri"/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Среднегодовые темпы роста объемов отгруженной предприятиями города продукции, выполненных работ и услуг в данном варианте прогнозируются в пределах 106 – 112,6%, </w:t>
      </w:r>
      <w:r>
        <w:rPr>
          <w:color w:val="000000" w:themeColor="text1"/>
          <w:sz w:val="28"/>
          <w:szCs w:val="28"/>
        </w:rPr>
        <w:t xml:space="preserve">инвестиций в основной капитал – 106,9-118,6%.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Calibri" w:hAnsi="Calibri"/>
          <w:color w:val="ff0000"/>
          <w:sz w:val="28"/>
          <w:szCs w:val="28"/>
        </w:rPr>
      </w:pPr>
      <w:r>
        <w:rPr>
          <w:rFonts w:ascii="Calibri" w:hAnsi="Calibri"/>
          <w:color w:val="ff0000"/>
          <w:sz w:val="28"/>
          <w:szCs w:val="28"/>
        </w:rPr>
      </w:r>
      <w:r>
        <w:rPr>
          <w:rFonts w:ascii="Calibri" w:hAnsi="Calibri"/>
          <w:color w:val="ff0000"/>
          <w:sz w:val="28"/>
          <w:szCs w:val="28"/>
        </w:rPr>
      </w:r>
    </w:p>
    <w:p>
      <w:pPr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3. Оценка факторов и ограничений экономического роста </w:t>
      </w:r>
      <w:r>
        <w:rPr>
          <w:b/>
          <w:color w:val="000000" w:themeColor="text1"/>
          <w:sz w:val="28"/>
          <w:szCs w:val="28"/>
        </w:rPr>
      </w:r>
    </w:p>
    <w:p>
      <w:pPr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города Нижнего Новгорода на долгосрочный период</w:t>
      </w:r>
      <w:r>
        <w:rPr>
          <w:b/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</w:r>
      <w:r>
        <w:rPr>
          <w:color w:val="1f497d" w:themeColor="text2"/>
          <w:sz w:val="28"/>
          <w:szCs w:val="28"/>
        </w:rPr>
      </w:r>
    </w:p>
    <w:p>
      <w:pPr>
        <w:pStyle w:val="984"/>
        <w:ind w:left="0" w:firstLine="709"/>
        <w:jc w:val="both"/>
        <w:spacing w:after="0" w:line="240" w:lineRule="auto"/>
        <w:rPr>
          <w:b/>
          <w:color w:val="000000" w:themeColor="text1"/>
          <w:sz w:val="28"/>
          <w:szCs w:val="28"/>
          <w:lang w:val="ru-RU"/>
        </w:rPr>
      </w:pPr>
      <w:r>
        <w:rPr>
          <w:b/>
          <w:color w:val="000000" w:themeColor="text1"/>
          <w:sz w:val="28"/>
          <w:szCs w:val="28"/>
          <w:lang w:val="ru-RU"/>
        </w:rPr>
        <w:t xml:space="preserve">3.1. Факторы экономического роста</w:t>
      </w:r>
      <w:r>
        <w:rPr>
          <w:b/>
          <w:color w:val="000000" w:themeColor="text1"/>
          <w:sz w:val="28"/>
          <w:szCs w:val="28"/>
          <w:lang w:val="ru-RU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Для сохранения траектории </w:t>
      </w:r>
      <w:r>
        <w:rPr>
          <w:bCs/>
          <w:iCs/>
          <w:color w:val="000000" w:themeColor="text1"/>
          <w:sz w:val="28"/>
          <w:szCs w:val="28"/>
        </w:rPr>
        <w:t xml:space="preserve">устойчивого экономического роста</w:t>
      </w:r>
      <w:r>
        <w:rPr>
          <w:color w:val="000000" w:themeColor="text1"/>
          <w:sz w:val="28"/>
          <w:szCs w:val="28"/>
        </w:rPr>
        <w:t xml:space="preserve"> в условиях с</w:t>
      </w:r>
      <w:r>
        <w:rPr>
          <w:color w:val="000000" w:themeColor="text1"/>
          <w:sz w:val="28"/>
          <w:szCs w:val="28"/>
        </w:rPr>
        <w:t xml:space="preserve">охранения санкционного давления реализуемые общегосударственные меры в прогнозном периоде будут направлены на: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переориентацию российского экспорта, повышение доли ненефтегазового экспорта; 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импортозамещение и локализацию производства в целях обеспечения не</w:t>
      </w:r>
      <w:r>
        <w:rPr>
          <w:color w:val="000000" w:themeColor="text1"/>
          <w:sz w:val="28"/>
          <w:szCs w:val="28"/>
        </w:rPr>
        <w:t xml:space="preserve">зависимости от импортных материалов и комплектующих;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обеспечение научно-технологического суверенитета и развитие цифровизации;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стимулирование предпринимательской деятельности и инвестиционной активности; 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развитие финансовой системы;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развитие человеческого</w:t>
      </w:r>
      <w:r>
        <w:rPr>
          <w:color w:val="000000" w:themeColor="text1"/>
          <w:sz w:val="28"/>
          <w:szCs w:val="28"/>
        </w:rPr>
        <w:t xml:space="preserve"> капитала (в том числе повышение уровня подготовки и адаптации рабочей силы к изменяющимся условиям экономики). </w:t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В результате структурных сдвигов ключевым драйвером экономического роста станет внутренний спрос (потребительский с учетом позитивной динамики реальных доходов населения, а также инвестиционный). Положительный эффект также окажет сбалансированная денежно-к</w:t>
      </w:r>
      <w:r>
        <w:rPr>
          <w:color w:val="000000" w:themeColor="text1"/>
          <w:sz w:val="28"/>
          <w:szCs w:val="28"/>
        </w:rPr>
        <w:t xml:space="preserve">редитная политика и стабильная ситуация на рынке труда </w:t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 xml:space="preserve">Экономическому росту в долгосрочной перспективе будет способствовать достижение национальных целей и выполнение задач, поставленных в Указе Президента Российской Федерации от 7 мая 2024 г. № 309 «О на</w:t>
      </w:r>
      <w:r>
        <w:rPr>
          <w:color w:val="000000" w:themeColor="text1"/>
          <w:sz w:val="28"/>
        </w:rPr>
        <w:t xml:space="preserve">циональных целях развития Российской Федерации на период до 2030 года и на перспективу до 2036 года».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Для достижения поставленных Президентом национальных целей Правительством Российской Федерации сформирован Единый план по достижению национальных целей р</w:t>
      </w:r>
      <w:r>
        <w:rPr>
          <w:color w:val="000000" w:themeColor="text1"/>
          <w:sz w:val="28"/>
        </w:rPr>
        <w:t xml:space="preserve">азвития Российской Федерации на период до 2030 года и на перспективу до 2036 года. Также реализуются новые национальные проекты.  </w:t>
      </w:r>
      <w:r>
        <w:rPr>
          <w:color w:val="000000" w:themeColor="text1"/>
          <w:sz w:val="28"/>
        </w:rPr>
      </w:r>
    </w:p>
    <w:p>
      <w:pPr>
        <w:ind w:firstLine="709"/>
        <w:jc w:val="both"/>
        <w:widowControl w:val="off"/>
        <w:rPr>
          <w:strike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Диверсификация производства позволит обеспечить запас устойчивости экономике Нижнего Новгорода при воздействии неблагоприятны</w:t>
      </w:r>
      <w:r>
        <w:rPr>
          <w:color w:val="000000" w:themeColor="text1"/>
          <w:sz w:val="28"/>
          <w:szCs w:val="28"/>
        </w:rPr>
        <w:t xml:space="preserve">х внешних факторов и создаст основу для позитивной динамики экономического развития в долгосрочной перспективе. </w:t>
      </w:r>
      <w:r>
        <w:rPr>
          <w:strike/>
          <w:color w:val="000000" w:themeColor="text1"/>
          <w:sz w:val="28"/>
          <w:szCs w:val="28"/>
        </w:rPr>
      </w:r>
    </w:p>
    <w:p>
      <w:pPr>
        <w:pStyle w:val="770"/>
        <w:ind w:firstLine="709"/>
        <w:rPr>
          <w:color w:val="000000" w:themeColor="text1"/>
          <w:lang w:val="ru-RU"/>
        </w:rPr>
      </w:pPr>
      <w:r>
        <w:rPr>
          <w:color w:val="000000" w:themeColor="text1"/>
          <w:szCs w:val="28"/>
          <w:lang w:val="ru-RU"/>
        </w:rPr>
        <w:t xml:space="preserve">Наличие на территории города предприятий, выпускающих наукоемкую и высокотехнологичную продукцию, научных организаций, а также развитой сети об</w:t>
      </w:r>
      <w:r>
        <w:rPr>
          <w:color w:val="000000" w:themeColor="text1"/>
          <w:szCs w:val="28"/>
          <w:lang w:val="ru-RU"/>
        </w:rPr>
        <w:t xml:space="preserve">разовательных учреждений и квалифицированных кадров наряду с реализуемыми в регионе мерами поддержки, направленными на  разработку и внедрение на предприятиях перспективных технологий, производство новой конкурентоспособной и высокотехнологичной продукции,</w:t>
      </w:r>
      <w:r>
        <w:rPr>
          <w:color w:val="000000" w:themeColor="text1"/>
          <w:szCs w:val="28"/>
          <w:lang w:val="ru-RU"/>
        </w:rPr>
        <w:t xml:space="preserve"> стимулирование импортозамещения</w:t>
      </w:r>
      <w:r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szCs w:val="28"/>
          <w:lang w:val="ru-RU"/>
        </w:rPr>
        <w:t xml:space="preserve">создает благоприятные предпосылки для обеспечения ускоренного технологического развития и предопределяет позитивные тенденции развития экономики города в долгосрочной перспективе.</w:t>
      </w:r>
      <w:r>
        <w:rPr>
          <w:color w:val="000000" w:themeColor="text1"/>
          <w:lang w:val="ru-RU"/>
        </w:rPr>
      </w:r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Дополнительным драйвером социально-экономи</w:t>
      </w:r>
      <w:r>
        <w:rPr>
          <w:color w:val="000000" w:themeColor="text1"/>
          <w:sz w:val="28"/>
          <w:szCs w:val="28"/>
        </w:rPr>
        <w:t xml:space="preserve">ческого развития в прогнозном периоде может стать активная реализация на территории города крупных проектов – продление Автозаводской и Сормовско-Мещерской линий метро, строительство дорог дублеров, второй канатной дороги,  создание ИТ-кампуса, реализация </w:t>
      </w:r>
      <w:r>
        <w:rPr>
          <w:color w:val="000000" w:themeColor="text1"/>
          <w:sz w:val="28"/>
          <w:szCs w:val="28"/>
        </w:rPr>
        <w:t xml:space="preserve">проекта редевелопмента исторического центра (Започаинья), проектов комплексного развития набережных, а также южных территорий города.</w:t>
      </w:r>
      <w:r>
        <w:rPr>
          <w:color w:val="000000" w:themeColor="text1"/>
        </w:rPr>
      </w:r>
    </w:p>
    <w:p>
      <w:pPr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3.2. Ограничения экономического роста</w:t>
      </w:r>
      <w:r>
        <w:rPr>
          <w:b/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num" w:pos="0" w:leader="none"/>
        </w:tabs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прогнозном периоде сохранится негативное влияние на динамику экономического развития как России в целом, так и отдельных ее территорий внешнеэкономических и внешнеполитических факторов.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num" w:pos="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Кроме указанных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28"/>
          <w:szCs w:val="28"/>
        </w:rPr>
        <w:t xml:space="preserve">рисков,</w:t>
      </w:r>
      <w:r>
        <w:rPr>
          <w:color w:val="000000" w:themeColor="text1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ограничить возможности экономического разви</w:t>
      </w:r>
      <w:r>
        <w:rPr>
          <w:bCs/>
          <w:color w:val="000000" w:themeColor="text1"/>
          <w:sz w:val="28"/>
          <w:szCs w:val="28"/>
        </w:rPr>
        <w:t xml:space="preserve">тия</w:t>
      </w:r>
      <w:r>
        <w:rPr>
          <w:color w:val="000000" w:themeColor="text1"/>
          <w:sz w:val="28"/>
          <w:szCs w:val="28"/>
        </w:rPr>
        <w:t xml:space="preserve"> могут: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num" w:pos="0" w:leader="none"/>
        </w:tabs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структурный </w:t>
      </w:r>
      <w:r>
        <w:rPr>
          <w:bCs/>
          <w:color w:val="000000" w:themeColor="text1"/>
          <w:sz w:val="28"/>
          <w:szCs w:val="28"/>
        </w:rPr>
        <w:t xml:space="preserve">дефицит кадров, </w:t>
      </w:r>
      <w:r>
        <w:rPr>
          <w:color w:val="000000" w:themeColor="text1"/>
        </w:rPr>
      </w:r>
    </w:p>
    <w:p>
      <w:pPr>
        <w:ind w:firstLine="709"/>
        <w:jc w:val="both"/>
        <w:tabs>
          <w:tab w:val="num" w:pos="0" w:leader="none"/>
        </w:tabs>
        <w:rPr>
          <w:color w:val="000000" w:themeColor="text1"/>
        </w:rPr>
      </w:pPr>
      <w:r>
        <w:rPr>
          <w:bCs/>
          <w:color w:val="000000" w:themeColor="text1"/>
          <w:sz w:val="28"/>
          <w:szCs w:val="28"/>
        </w:rPr>
        <w:t xml:space="preserve">сохранение высокой ключевой ставки, которая ведет к снижению доступности банковского кредитования, что, в свою очередь, может негативно сказаться на инвестиционной активности бизнеса, а также привести к переходу насе</w:t>
      </w:r>
      <w:r>
        <w:rPr>
          <w:bCs/>
          <w:color w:val="000000" w:themeColor="text1"/>
          <w:sz w:val="28"/>
          <w:szCs w:val="28"/>
        </w:rPr>
        <w:t xml:space="preserve">ления к сберегательной модели поведения и охлаждению потребительского спроса.</w:t>
      </w:r>
      <w:r>
        <w:rPr>
          <w:color w:val="000000" w:themeColor="text1"/>
        </w:rPr>
      </w:r>
    </w:p>
    <w:p>
      <w:pPr>
        <w:ind w:firstLine="709"/>
        <w:jc w:val="both"/>
        <w:tabs>
          <w:tab w:val="num" w:pos="0" w:leader="none"/>
        </w:tabs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рост производственных издержек.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num" w:pos="0" w:leader="none"/>
        </w:tabs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Дополнительным дестабилизирующим фактором может стать существенное замедление мирового экономического роста. Ухудшение ситуации на товарных рынках</w:t>
      </w:r>
      <w:r>
        <w:rPr>
          <w:bCs/>
          <w:color w:val="000000" w:themeColor="text1"/>
          <w:sz w:val="28"/>
          <w:szCs w:val="28"/>
        </w:rPr>
        <w:t xml:space="preserve"> и замедление переориентации экспорта в нейтральные страны в совокупности с сохранением жесткого санкционного режима к российской экономике может повысить вероятность неустойчивой динамики экономического развития в долгосрочном периоде.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Сохранение высоких </w:t>
      </w:r>
      <w:r>
        <w:rPr>
          <w:color w:val="000000" w:themeColor="text1"/>
          <w:sz w:val="28"/>
          <w:szCs w:val="28"/>
        </w:rPr>
        <w:t xml:space="preserve">внешних рисков наряду с недостаточной эффективностью мер по обеспечению устойчивости экономики и ее структурной перестройки может негативно сказаться на инвестиционной активности субъектов экономической деятельности и повысить вероятность стагнации потреби</w:t>
      </w:r>
      <w:r>
        <w:rPr>
          <w:color w:val="000000" w:themeColor="text1"/>
          <w:sz w:val="28"/>
          <w:szCs w:val="28"/>
        </w:rPr>
        <w:t xml:space="preserve">тельского спроса вследствие слабого роста реальных доходов населения. Отсутствие поступательной динамики экономического роста в конечном итоге может привести к снижению бюджетной устойчивости.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bCs/>
          <w:sz w:val="28"/>
          <w:szCs w:val="28"/>
        </w:rPr>
        <w:sectPr>
          <w:headerReference w:type="default" r:id="rId9"/>
          <w:headerReference w:type="first" r:id="rId10"/>
          <w:footerReference w:type="first" r:id="rId12"/>
          <w:footnotePr/>
          <w:endnotePr/>
          <w:type w:val="continuous"/>
          <w:pgSz w:w="11907" w:h="16834" w:orient="portrait"/>
          <w:pgMar w:top="1134" w:right="851" w:bottom="567" w:left="1134" w:header="289" w:footer="289" w:gutter="0"/>
          <w:pgNumType w:start="1"/>
          <w:cols w:num="1" w:sep="0" w:space="720" w:equalWidth="1"/>
          <w:docGrid w:linePitch="360"/>
          <w:titlePg/>
        </w:sect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4. Основные параметры прогноза социально-экономического развития города Нижнего Новгорода</w:t>
      </w:r>
      <w:r>
        <w:rPr>
          <w:bCs/>
          <w:color w:val="000000" w:themeColor="text1"/>
          <w:sz w:val="28"/>
          <w:szCs w:val="28"/>
        </w:rPr>
      </w:r>
    </w:p>
    <w:p>
      <w:pPr>
        <w:jc w:val="center"/>
        <w:rPr>
          <w:bCs/>
          <w:color w:val="1f497d" w:themeColor="text2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на долгосрочный период </w:t>
      </w:r>
      <w:r>
        <w:rPr>
          <w:bCs/>
          <w:color w:val="000000" w:themeColor="text1"/>
        </w:rPr>
        <w:t xml:space="preserve">(с учетом КМО)</w:t>
      </w:r>
      <w:r>
        <w:rPr>
          <w:bCs/>
          <w:color w:val="1f497d" w:themeColor="text2"/>
          <w:sz w:val="28"/>
          <w:szCs w:val="28"/>
        </w:rPr>
      </w:r>
    </w:p>
    <w:p>
      <w:pPr>
        <w:ind w:firstLine="540"/>
        <w:jc w:val="center"/>
        <w:rPr>
          <w:bCs/>
          <w:color w:val="1f497d" w:themeColor="text2"/>
          <w:sz w:val="28"/>
          <w:szCs w:val="28"/>
        </w:rPr>
      </w:pPr>
      <w:r>
        <w:rPr>
          <w:bCs/>
          <w:color w:val="1f497d" w:themeColor="text2"/>
          <w:sz w:val="28"/>
          <w:szCs w:val="28"/>
        </w:rPr>
      </w:r>
      <w:r>
        <w:rPr>
          <w:bCs/>
          <w:color w:val="1f497d" w:themeColor="text2"/>
          <w:sz w:val="28"/>
          <w:szCs w:val="28"/>
        </w:rPr>
      </w:r>
    </w:p>
    <w:tbl>
      <w:tblPr>
        <w:tblW w:w="1532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"/>
        <w:gridCol w:w="1964"/>
        <w:gridCol w:w="902"/>
        <w:gridCol w:w="1088"/>
        <w:gridCol w:w="992"/>
        <w:gridCol w:w="992"/>
        <w:gridCol w:w="992"/>
        <w:gridCol w:w="992"/>
        <w:gridCol w:w="992"/>
        <w:gridCol w:w="992"/>
        <w:gridCol w:w="992"/>
        <w:gridCol w:w="992"/>
        <w:gridCol w:w="993"/>
        <w:gridCol w:w="992"/>
        <w:gridCol w:w="992"/>
      </w:tblGrid>
      <w:tr>
        <w:tblPrEx/>
        <w:trPr>
          <w:trHeight w:val="309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455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 xml:space="preserve">№</w:t>
            </w:r>
            <w:r>
              <w:rPr>
                <w:bCs/>
                <w:color w:val="000000" w:themeColor="text1"/>
                <w:sz w:val="16"/>
                <w:szCs w:val="16"/>
              </w:rPr>
            </w:r>
          </w:p>
          <w:p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 xml:space="preserve">п/п</w:t>
            </w:r>
            <w:r>
              <w:rPr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96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 xml:space="preserve">Наименование прогнозного показателя</w:t>
            </w:r>
            <w:r>
              <w:rPr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9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 xml:space="preserve">Сценарии</w:t>
            </w:r>
            <w:r>
              <w:rPr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right w:val="single" w:color="000000" w:sz="8" w:space="0"/>
            </w:tcBorders>
            <w:tcW w:w="1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 xml:space="preserve">2024 год</w:t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 xml:space="preserve">(факт) 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2025 год </w:t>
            </w:r>
            <w:r>
              <w:rPr>
                <w:bCs/>
                <w:color w:val="000000" w:themeColor="text1"/>
                <w:sz w:val="16"/>
                <w:szCs w:val="16"/>
              </w:rPr>
              <w:t xml:space="preserve">(оценка)</w:t>
            </w:r>
            <w:r>
              <w:rPr>
                <w:color w:val="000000" w:themeColor="text1"/>
              </w:rPr>
            </w:r>
          </w:p>
        </w:tc>
        <w:tc>
          <w:tcPr>
            <w:gridSpan w:val="8"/>
            <w:tcBorders>
              <w:top w:val="single" w:color="000000" w:sz="8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7937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 xml:space="preserve">Прогноз</w:t>
            </w:r>
            <w:r>
              <w:rPr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</w:r>
            <w:r>
              <w:rPr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</w:r>
            <w:r>
              <w:rPr>
                <w:bCs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615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455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</w:r>
            <w:r>
              <w:rPr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964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</w:r>
            <w:r>
              <w:rPr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902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</w:r>
            <w:r>
              <w:rPr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8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</w:r>
            <w:r>
              <w:rPr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 xml:space="preserve">2026 год</w:t>
            </w:r>
            <w:r>
              <w:rPr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 xml:space="preserve">2027 год</w:t>
            </w:r>
            <w:r>
              <w:rPr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 xml:space="preserve">2028 год</w:t>
            </w:r>
            <w:r>
              <w:rPr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 xml:space="preserve">2029 год</w:t>
            </w:r>
            <w:r>
              <w:rPr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 xml:space="preserve">2030 год</w:t>
            </w:r>
            <w:r>
              <w:rPr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 xml:space="preserve">2031 год</w:t>
            </w:r>
            <w:r>
              <w:rPr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 xml:space="preserve">2032 год</w:t>
            </w:r>
            <w:r>
              <w:rPr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 xml:space="preserve">2033 год</w:t>
            </w:r>
            <w:r>
              <w:rPr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 xml:space="preserve">2034 год</w:t>
            </w:r>
            <w:r>
              <w:rPr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 xml:space="preserve">2035 год</w:t>
            </w:r>
            <w:r>
              <w:rPr>
                <w:bCs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133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1.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Объем отгруженной продукции собственного производства, выполненных работ и услуг собственными силами (по полному кругу предприятий), млн. руб.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Базовый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2 407 014,4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2 581 055,4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2 813 404,4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3 022 847,2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3 242 195,5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3 473 039,8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3 723 932,2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3 992 949,1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4 281 399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,7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4 590 688,0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4 922 319,3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5 277 907,7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vAlign w:val="center"/>
            <w:textDirection w:val="lrTb"/>
            <w:noWrap w:val="false"/>
          </w:tcPr>
          <w:p>
            <w:pPr>
              <w:rPr>
                <w:iCs/>
                <w:color w:val="000000" w:themeColor="text1"/>
                <w:sz w:val="16"/>
                <w:szCs w:val="16"/>
              </w:rPr>
            </w:pPr>
            <w:r>
              <w:rPr>
                <w:iCs/>
                <w:color w:val="000000" w:themeColor="text1"/>
                <w:sz w:val="16"/>
                <w:szCs w:val="16"/>
              </w:rPr>
              <w:t xml:space="preserve">Темп роста в сопоставимых ценах, %</w:t>
            </w:r>
            <w:r>
              <w:rPr>
                <w:i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right w:val="single" w:color="000000" w:sz="4" w:space="0"/>
            </w:tcBorders>
            <w:tcW w:w="1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106,4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98,5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103,4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103,3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103,1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103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103,1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103,1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103,1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103,1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103,1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103,1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158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Объем отгруженной продукции собственного производства, выполненных работ и услуг собственными силами (по полному кругу предприятий), млн. руб.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Целевой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left w:val="none" w:color="000000" w:sz="4" w:space="0"/>
              <w:right w:val="single" w:color="000000" w:sz="4" w:space="0"/>
            </w:tcBorders>
            <w:tcW w:w="108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16"/>
                <w:highlight w:val="yellow"/>
                <w:vertAlign w:val="superscript"/>
              </w:rPr>
            </w:pPr>
            <w:r>
              <w:rPr>
                <w:color w:val="000000" w:themeColor="text1"/>
                <w:sz w:val="22"/>
                <w:szCs w:val="16"/>
                <w:highlight w:val="yellow"/>
                <w:vertAlign w:val="superscript"/>
              </w:rPr>
            </w:r>
            <w:r>
              <w:rPr>
                <w:color w:val="000000" w:themeColor="text1"/>
                <w:sz w:val="22"/>
                <w:szCs w:val="16"/>
                <w:highlight w:val="yellow"/>
                <w:vertAlign w:val="superscript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  <w:highlight w:val="yellow"/>
              </w:rPr>
            </w:r>
            <w:r>
              <w:rPr>
                <w:color w:val="000000" w:themeColor="text1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2 845 355,5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3 240 131,5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3 703 146,3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4 293 887,0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5 023 478,5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5 762 211,1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6 483 853,2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7 215 030,8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7 946 202,0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8 751 470,1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vAlign w:val="center"/>
            <w:textDirection w:val="lrTb"/>
            <w:noWrap w:val="false"/>
          </w:tcPr>
          <w:p>
            <w:pPr>
              <w:rPr>
                <w:iCs/>
                <w:color w:val="000000" w:themeColor="text1"/>
                <w:sz w:val="16"/>
                <w:szCs w:val="16"/>
              </w:rPr>
            </w:pPr>
            <w:r>
              <w:rPr>
                <w:iCs/>
                <w:color w:val="000000" w:themeColor="text1"/>
                <w:sz w:val="16"/>
                <w:szCs w:val="16"/>
              </w:rPr>
              <w:t xml:space="preserve">Темп роста в сопоставимых ценах, %</w:t>
            </w:r>
            <w:r>
              <w:rPr>
                <w:i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16"/>
                <w:highlight w:val="yellow"/>
                <w:vertAlign w:val="superscript"/>
              </w:rPr>
            </w:pPr>
            <w:r>
              <w:rPr>
                <w:color w:val="000000" w:themeColor="text1"/>
                <w:sz w:val="22"/>
                <w:szCs w:val="16"/>
                <w:highlight w:val="yellow"/>
                <w:vertAlign w:val="superscript"/>
              </w:rPr>
            </w:r>
            <w:r>
              <w:rPr>
                <w:color w:val="000000" w:themeColor="text1"/>
                <w:sz w:val="22"/>
                <w:szCs w:val="16"/>
                <w:highlight w:val="yellow"/>
                <w:vertAlign w:val="superscript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  <w:highlight w:val="yellow"/>
              </w:rPr>
            </w:r>
            <w:r>
              <w:rPr>
                <w:color w:val="000000" w:themeColor="text1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106,0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109,6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110,0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111,6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112,6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110,4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108,3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107,1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106,0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106,0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69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2.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Объем розничного товарооборота (по крупным и средним организациям), млн.руб.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Базовый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440 435,7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502 163,5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562 095,8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609 131,9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658 837,1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705 752,3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756 008,2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809 842,8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867 510,8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929 285,4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995 458,9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1 066 344,5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vAlign w:val="center"/>
            <w:textDirection w:val="lrTb"/>
            <w:noWrap w:val="false"/>
          </w:tcPr>
          <w:p>
            <w:pPr>
              <w:rPr>
                <w:iCs/>
                <w:color w:val="000000" w:themeColor="text1"/>
                <w:sz w:val="16"/>
                <w:szCs w:val="16"/>
              </w:rPr>
            </w:pPr>
            <w:r>
              <w:rPr>
                <w:iCs/>
                <w:color w:val="000000" w:themeColor="text1"/>
                <w:sz w:val="16"/>
                <w:szCs w:val="16"/>
              </w:rPr>
              <w:t xml:space="preserve">Темп роста в сопоставимых ценах, %</w:t>
            </w:r>
            <w:r>
              <w:rPr>
                <w:i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right w:val="single" w:color="000000" w:sz="4" w:space="0"/>
            </w:tcBorders>
            <w:tcW w:w="1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  <w:vertAlign w:val="superscript"/>
              </w:rPr>
              <w:t xml:space="preserve">112</w:t>
            </w:r>
            <w:r>
              <w:rPr>
                <w:color w:val="000000" w:themeColor="text1"/>
                <w:sz w:val="22"/>
                <w:szCs w:val="22"/>
                <w:vertAlign w:val="superscript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  <w:vertAlign w:val="superscript"/>
              </w:rPr>
              <w:t xml:space="preserve">104,9</w:t>
            </w:r>
            <w:r>
              <w:rPr>
                <w:color w:val="000000" w:themeColor="text1"/>
                <w:sz w:val="22"/>
                <w:szCs w:val="22"/>
                <w:vertAlign w:val="superscript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106,2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104,2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104,0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103,1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103,1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103,1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103,1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103,1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103,1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103,1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Объем розничного товарооборота (по крупным и средним организациям), млн. руб.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Целевой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left w:val="none" w:color="000000" w:sz="4" w:space="0"/>
              <w:right w:val="single" w:color="000000" w:sz="4" w:space="0"/>
            </w:tcBorders>
            <w:tcW w:w="108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16"/>
                <w:highlight w:val="yellow"/>
                <w:vertAlign w:val="superscript"/>
              </w:rPr>
            </w:pPr>
            <w:r>
              <w:rPr>
                <w:color w:val="000000" w:themeColor="text1"/>
                <w:sz w:val="22"/>
                <w:szCs w:val="16"/>
                <w:highlight w:val="yellow"/>
                <w:vertAlign w:val="superscript"/>
              </w:rPr>
            </w:r>
            <w:r>
              <w:rPr>
                <w:color w:val="000000" w:themeColor="text1"/>
                <w:sz w:val="22"/>
                <w:szCs w:val="16"/>
                <w:highlight w:val="yellow"/>
                <w:vertAlign w:val="superscript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  <w:highlight w:val="yellow"/>
              </w:rPr>
            </w:r>
            <w:r>
              <w:rPr>
                <w:color w:val="000000" w:themeColor="text1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564 552,3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624 696,9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694 494,2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771 347,0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856 704,2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951 507,1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1 056 800,9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1 162 776,9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1 267 310,5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1 381 241,7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vAlign w:val="center"/>
            <w:textDirection w:val="lrTb"/>
            <w:noWrap w:val="false"/>
          </w:tcPr>
          <w:p>
            <w:pPr>
              <w:rPr>
                <w:iCs/>
                <w:color w:val="000000" w:themeColor="text1"/>
                <w:sz w:val="16"/>
                <w:szCs w:val="16"/>
              </w:rPr>
            </w:pPr>
            <w:r>
              <w:rPr>
                <w:iCs/>
                <w:color w:val="000000" w:themeColor="text1"/>
                <w:sz w:val="16"/>
                <w:szCs w:val="16"/>
              </w:rPr>
              <w:t xml:space="preserve">Темп роста в сопоставимых ценах, %</w:t>
            </w:r>
            <w:r>
              <w:rPr>
                <w:i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16"/>
                <w:highlight w:val="yellow"/>
                <w:vertAlign w:val="superscript"/>
              </w:rPr>
            </w:pPr>
            <w:r>
              <w:rPr>
                <w:color w:val="000000" w:themeColor="text1"/>
                <w:sz w:val="22"/>
                <w:szCs w:val="16"/>
                <w:highlight w:val="yellow"/>
                <w:vertAlign w:val="superscript"/>
              </w:rPr>
            </w:r>
            <w:r>
              <w:rPr>
                <w:color w:val="000000" w:themeColor="text1"/>
                <w:sz w:val="22"/>
                <w:szCs w:val="16"/>
                <w:highlight w:val="yellow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  <w:highlight w:val="yellow"/>
              </w:rPr>
            </w:r>
            <w:r>
              <w:rPr>
                <w:color w:val="000000" w:themeColor="text1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108,1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106,5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107,0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107,0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107,0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107,0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107,0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106,0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105,0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105,0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4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3.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Оборот общественного питания (по крупным и средним организациям) , млн.руб. 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Базовый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13 380,2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14 514,8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16 124,7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17 440,5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18 863,7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20 501,1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22 280,6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24 214,5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26 316,3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28 600,6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31 083,1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33 781,1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vAlign w:val="center"/>
            <w:textDirection w:val="lrTb"/>
            <w:noWrap w:val="false"/>
          </w:tcPr>
          <w:p>
            <w:pPr>
              <w:rPr>
                <w:iCs/>
                <w:color w:val="000000" w:themeColor="text1"/>
                <w:sz w:val="16"/>
                <w:szCs w:val="16"/>
              </w:rPr>
            </w:pPr>
            <w:r>
              <w:rPr>
                <w:iCs/>
                <w:color w:val="000000" w:themeColor="text1"/>
                <w:sz w:val="16"/>
                <w:szCs w:val="16"/>
              </w:rPr>
              <w:t xml:space="preserve">Темп роста в сопоставимых ценах, %</w:t>
            </w:r>
            <w:r>
              <w:rPr>
                <w:i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  <w:vertAlign w:val="superscript"/>
              </w:rPr>
              <w:t xml:space="preserve">122,3</w:t>
            </w:r>
            <w:r>
              <w:rPr>
                <w:color w:val="000000" w:themeColor="text1"/>
                <w:sz w:val="22"/>
                <w:szCs w:val="22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  <w:vertAlign w:val="superscript"/>
              </w:rPr>
              <w:t xml:space="preserve">99,6</w:t>
            </w:r>
            <w:r>
              <w:rPr>
                <w:color w:val="000000" w:themeColor="text1"/>
                <w:sz w:val="22"/>
                <w:szCs w:val="22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105,4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104,0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104,0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104,5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104,5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104,5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104,5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104,5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104,5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104,5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7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Оборот общественного питания (по крупным и средним организациям), млн.руб. 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Целевой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16"/>
                <w:vertAlign w:val="superscript"/>
              </w:rPr>
            </w:pPr>
            <w:r>
              <w:rPr>
                <w:color w:val="000000" w:themeColor="text1"/>
                <w:sz w:val="22"/>
                <w:szCs w:val="16"/>
                <w:vertAlign w:val="superscript"/>
              </w:rPr>
            </w:r>
            <w:r>
              <w:rPr>
                <w:color w:val="000000" w:themeColor="text1"/>
                <w:sz w:val="22"/>
                <w:szCs w:val="16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16 137,0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17 604,6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19 205,8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20 952,5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22 858,2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24 937,1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27 205,2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29 679,5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32 378,8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35 323,7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vAlign w:val="center"/>
            <w:textDirection w:val="lrTb"/>
            <w:noWrap w:val="false"/>
          </w:tcPr>
          <w:p>
            <w:pPr>
              <w:jc w:val="both"/>
              <w:rPr>
                <w:iCs/>
                <w:color w:val="000000" w:themeColor="text1"/>
                <w:sz w:val="16"/>
                <w:szCs w:val="16"/>
              </w:rPr>
            </w:pPr>
            <w:r>
              <w:rPr>
                <w:iCs/>
                <w:color w:val="000000" w:themeColor="text1"/>
                <w:sz w:val="16"/>
                <w:szCs w:val="16"/>
              </w:rPr>
              <w:t xml:space="preserve">Темп роста в сопоставимых ценах, %</w:t>
            </w:r>
            <w:r>
              <w:rPr>
                <w:i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16"/>
                <w:vertAlign w:val="superscript"/>
              </w:rPr>
            </w:pPr>
            <w:r>
              <w:rPr>
                <w:color w:val="000000" w:themeColor="text1"/>
                <w:sz w:val="22"/>
                <w:szCs w:val="16"/>
                <w:vertAlign w:val="superscript"/>
              </w:rPr>
            </w:r>
            <w:r>
              <w:rPr>
                <w:color w:val="000000" w:themeColor="text1"/>
                <w:sz w:val="22"/>
                <w:szCs w:val="16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106,9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105,0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105,0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105,0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105,0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105,0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105,0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105,0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105,0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105,0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85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4.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Объем платных услуг населению (по крупным и средним организациям), млн.руб.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Базовый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134 250,4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153 566,3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167 034,9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178 754,0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191 295,5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205 114,6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219 932,1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235 820,0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252 855,7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271 122,0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290 707,8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311 708,5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vAlign w:val="center"/>
            <w:textDirection w:val="lrTb"/>
            <w:noWrap w:val="false"/>
          </w:tcPr>
          <w:p>
            <w:pPr>
              <w:jc w:val="both"/>
              <w:rPr>
                <w:iCs/>
                <w:color w:val="000000" w:themeColor="text1"/>
                <w:sz w:val="16"/>
                <w:szCs w:val="16"/>
              </w:rPr>
            </w:pPr>
            <w:r>
              <w:rPr>
                <w:iCs/>
                <w:color w:val="000000" w:themeColor="text1"/>
                <w:sz w:val="16"/>
                <w:szCs w:val="16"/>
              </w:rPr>
              <w:t xml:space="preserve">Темп роста в сопоставимых ценах, %</w:t>
            </w:r>
            <w:r>
              <w:rPr>
                <w:i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right w:val="single" w:color="000000" w:sz="4" w:space="0"/>
            </w:tcBorders>
            <w:tcW w:w="1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  <w:vertAlign w:val="superscript"/>
              </w:rPr>
              <w:t xml:space="preserve">101,4</w:t>
            </w:r>
            <w:r>
              <w:rPr>
                <w:color w:val="000000" w:themeColor="text1"/>
                <w:sz w:val="22"/>
                <w:szCs w:val="22"/>
                <w:vertAlign w:val="superscript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  <w:vertAlign w:val="superscript"/>
              </w:rPr>
              <w:t xml:space="preserve">103,5</w:t>
            </w:r>
            <w:r>
              <w:rPr>
                <w:color w:val="000000" w:themeColor="text1"/>
                <w:sz w:val="22"/>
                <w:szCs w:val="22"/>
                <w:vertAlign w:val="superscript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103,1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102,9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102,9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103,1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103,1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103,1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103,1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103,1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103,1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103,1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Объем платных услуг населению (по крупным и средним организациям), млн.руб.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Целевой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left w:val="none" w:color="000000" w:sz="4" w:space="0"/>
              <w:right w:val="single" w:color="000000" w:sz="4" w:space="0"/>
            </w:tcBorders>
            <w:tcW w:w="108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16"/>
                <w:highlight w:val="yellow"/>
                <w:vertAlign w:val="superscript"/>
              </w:rPr>
            </w:pPr>
            <w:r>
              <w:rPr>
                <w:color w:val="000000" w:themeColor="text1"/>
                <w:sz w:val="22"/>
                <w:szCs w:val="16"/>
                <w:highlight w:val="yellow"/>
                <w:vertAlign w:val="superscript"/>
              </w:rPr>
            </w:r>
            <w:r>
              <w:rPr>
                <w:color w:val="000000" w:themeColor="text1"/>
                <w:sz w:val="22"/>
                <w:szCs w:val="16"/>
                <w:highlight w:val="yellow"/>
                <w:vertAlign w:val="superscript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  <w:highlight w:val="yellow"/>
              </w:rPr>
            </w:r>
            <w:r>
              <w:rPr>
                <w:color w:val="000000" w:themeColor="text1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168 493,0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185 568,1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205 337,6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227 213,2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251 419,4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278 204,3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307 842,8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339 039,6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369 875,3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403 515,4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vAlign w:val="center"/>
            <w:textDirection w:val="lrTb"/>
            <w:noWrap w:val="false"/>
          </w:tcPr>
          <w:p>
            <w:pPr>
              <w:jc w:val="both"/>
              <w:rPr>
                <w:iCs/>
                <w:color w:val="000000" w:themeColor="text1"/>
                <w:sz w:val="16"/>
                <w:szCs w:val="16"/>
              </w:rPr>
            </w:pPr>
            <w:r>
              <w:rPr>
                <w:iCs/>
                <w:color w:val="000000" w:themeColor="text1"/>
                <w:sz w:val="16"/>
                <w:szCs w:val="16"/>
              </w:rPr>
              <w:t xml:space="preserve">Темп роста в сопоставимых ценах, %</w:t>
            </w:r>
            <w:r>
              <w:rPr>
                <w:i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16"/>
                <w:highlight w:val="yellow"/>
                <w:vertAlign w:val="superscript"/>
              </w:rPr>
            </w:pPr>
            <w:r>
              <w:rPr>
                <w:color w:val="000000" w:themeColor="text1"/>
                <w:sz w:val="22"/>
                <w:szCs w:val="16"/>
                <w:highlight w:val="yellow"/>
                <w:vertAlign w:val="superscript"/>
              </w:rPr>
            </w:r>
            <w:r>
              <w:rPr>
                <w:color w:val="000000" w:themeColor="text1"/>
                <w:sz w:val="22"/>
                <w:szCs w:val="16"/>
                <w:highlight w:val="yellow"/>
                <w:vertAlign w:val="superscript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  <w:highlight w:val="yellow"/>
              </w:rPr>
            </w:r>
            <w:r>
              <w:rPr>
                <w:color w:val="000000" w:themeColor="text1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105,5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106,0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106,5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106,5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106,5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106,5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106,5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106,0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105,0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105,0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5.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Фонд заработной платы, всего, млн.руб.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Базовый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591 938,7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691 804,4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749 160,7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811 341,0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879 493,7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941 937,7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1 008 815,3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1 080 441,2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1 157 152,5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1 239 310,4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1 327 301,4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1 421 539,8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vAlign w:val="center"/>
            <w:textDirection w:val="lrTb"/>
            <w:noWrap w:val="false"/>
          </w:tcPr>
          <w:p>
            <w:pPr>
              <w:jc w:val="both"/>
              <w:rPr>
                <w:iCs/>
                <w:color w:val="000000" w:themeColor="text1"/>
                <w:sz w:val="16"/>
                <w:szCs w:val="16"/>
              </w:rPr>
            </w:pPr>
            <w:r>
              <w:rPr>
                <w:iCs/>
                <w:color w:val="000000" w:themeColor="text1"/>
                <w:sz w:val="16"/>
                <w:szCs w:val="16"/>
              </w:rPr>
              <w:t xml:space="preserve">Темп роста в действующих ценах, %</w:t>
            </w:r>
            <w:r>
              <w:rPr>
                <w:i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single" w:color="000000" w:sz="4" w:space="0"/>
            </w:tcBorders>
            <w:tcW w:w="1088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  <w:vertAlign w:val="superscript"/>
              </w:rPr>
              <w:t xml:space="preserve">121,9</w:t>
            </w:r>
            <w:r>
              <w:rPr>
                <w:color w:val="000000" w:themeColor="text1"/>
                <w:sz w:val="22"/>
                <w:szCs w:val="22"/>
                <w:vertAlign w:val="superscript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  <w:vertAlign w:val="superscript"/>
              </w:rPr>
              <w:t xml:space="preserve">116,9</w:t>
            </w:r>
            <w:r>
              <w:rPr>
                <w:color w:val="000000" w:themeColor="text1"/>
                <w:sz w:val="22"/>
                <w:szCs w:val="22"/>
                <w:vertAlign w:val="superscript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108,3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108,3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108,4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107,1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107,1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107,1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107,1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107,1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107,1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107,1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Фонд заработной платы, всего, млн.руб.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Целевой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left w:val="none" w:color="000000" w:sz="4" w:space="0"/>
              <w:right w:val="single" w:color="000000" w:sz="4" w:space="0"/>
            </w:tcBorders>
            <w:tcW w:w="108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16"/>
                <w:highlight w:val="yellow"/>
                <w:vertAlign w:val="superscript"/>
              </w:rPr>
            </w:pPr>
            <w:r>
              <w:rPr>
                <w:color w:val="000000" w:themeColor="text1"/>
                <w:sz w:val="22"/>
                <w:szCs w:val="16"/>
                <w:highlight w:val="yellow"/>
                <w:vertAlign w:val="superscript"/>
              </w:rPr>
            </w:r>
            <w:r>
              <w:rPr>
                <w:color w:val="000000" w:themeColor="text1"/>
                <w:sz w:val="22"/>
                <w:szCs w:val="16"/>
                <w:highlight w:val="yellow"/>
                <w:vertAlign w:val="superscript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  <w:highlight w:val="yellow"/>
              </w:rPr>
            </w:r>
            <w:r>
              <w:rPr>
                <w:color w:val="000000" w:themeColor="text1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801 109,5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893 237,1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976 308,1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1 067 104,8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1 166 345,5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1 274 815,7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1 393 373,5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1 522 957,3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1 664 592,3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1 819 399,4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vAlign w:val="center"/>
            <w:textDirection w:val="lrTb"/>
            <w:noWrap w:val="false"/>
          </w:tcPr>
          <w:p>
            <w:pPr>
              <w:jc w:val="both"/>
              <w:rPr>
                <w:iCs/>
                <w:color w:val="000000" w:themeColor="text1"/>
                <w:sz w:val="16"/>
                <w:szCs w:val="16"/>
              </w:rPr>
            </w:pPr>
            <w:r>
              <w:rPr>
                <w:iCs/>
                <w:color w:val="000000" w:themeColor="text1"/>
                <w:sz w:val="16"/>
                <w:szCs w:val="16"/>
              </w:rPr>
              <w:t xml:space="preserve">Темп роста в действующих ценах, %</w:t>
            </w:r>
            <w:r>
              <w:rPr>
                <w:i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16"/>
                <w:highlight w:val="yellow"/>
                <w:vertAlign w:val="superscript"/>
              </w:rPr>
            </w:pPr>
            <w:r>
              <w:rPr>
                <w:color w:val="000000" w:themeColor="text1"/>
                <w:sz w:val="22"/>
                <w:szCs w:val="16"/>
                <w:highlight w:val="yellow"/>
                <w:vertAlign w:val="superscript"/>
              </w:rPr>
            </w:r>
            <w:r>
              <w:rPr>
                <w:color w:val="000000" w:themeColor="text1"/>
                <w:sz w:val="22"/>
                <w:szCs w:val="16"/>
                <w:highlight w:val="yellow"/>
                <w:vertAlign w:val="superscript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  <w:highlight w:val="yellow"/>
              </w:rPr>
            </w:r>
            <w:r>
              <w:rPr>
                <w:color w:val="000000" w:themeColor="text1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115,8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111,5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109,3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109,3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109,3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109,3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109,3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109,3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109,3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109,3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6.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Реальная заработная плата, %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2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Базовый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single" w:color="000000" w:sz="4" w:space="0"/>
            </w:tcBorders>
            <w:tcW w:w="1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  <w:vertAlign w:val="superscript"/>
              </w:rPr>
              <w:t xml:space="preserve">113,3</w:t>
            </w:r>
            <w:r>
              <w:rPr>
                <w:color w:val="000000" w:themeColor="text1"/>
                <w:sz w:val="22"/>
                <w:szCs w:val="22"/>
                <w:vertAlign w:val="superscript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  <w:vertAlign w:val="superscript"/>
              </w:rPr>
              <w:t xml:space="preserve">106,2</w:t>
            </w:r>
            <w:r>
              <w:rPr>
                <w:color w:val="000000" w:themeColor="text1"/>
                <w:sz w:val="22"/>
                <w:szCs w:val="22"/>
                <w:vertAlign w:val="superscript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101,7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104,0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104,0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103,0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103,0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103,0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103,0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103,0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103,0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103,0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2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Целевой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16"/>
                <w:highlight w:val="yellow"/>
                <w:vertAlign w:val="superscript"/>
              </w:rPr>
            </w:pPr>
            <w:r>
              <w:rPr>
                <w:color w:val="000000" w:themeColor="text1"/>
                <w:sz w:val="22"/>
                <w:szCs w:val="16"/>
                <w:highlight w:val="yellow"/>
                <w:vertAlign w:val="superscript"/>
              </w:rPr>
            </w:r>
            <w:r>
              <w:rPr>
                <w:color w:val="000000" w:themeColor="text1"/>
                <w:sz w:val="22"/>
                <w:szCs w:val="16"/>
                <w:highlight w:val="yellow"/>
                <w:vertAlign w:val="superscript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  <w:highlight w:val="yellow"/>
              </w:rPr>
            </w:r>
            <w:r>
              <w:rPr>
                <w:color w:val="000000" w:themeColor="text1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109,8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107,3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105,1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105,1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105,1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105,1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105,1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105,1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105,1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105,1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45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7.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Численность работников по территории, формирующих фонд оплаты труда, тыс.чел.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Базовый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single" w:color="000000" w:sz="4" w:space="0"/>
            </w:tcBorders>
            <w:tcW w:w="1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  <w:vertAlign w:val="superscript"/>
              </w:rPr>
              <w:t xml:space="preserve">628,1</w:t>
            </w:r>
            <w:r>
              <w:rPr>
                <w:color w:val="000000" w:themeColor="text1"/>
                <w:sz w:val="22"/>
                <w:szCs w:val="22"/>
                <w:vertAlign w:val="superscript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  <w:vertAlign w:val="superscript"/>
              </w:rPr>
              <w:t xml:space="preserve">634,7</w:t>
            </w:r>
            <w:r>
              <w:rPr>
                <w:color w:val="000000" w:themeColor="text1"/>
                <w:sz w:val="22"/>
                <w:szCs w:val="22"/>
                <w:vertAlign w:val="superscript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641,0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642,0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643,1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643,2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643,3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643,4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643,5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643,6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643,7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643,8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39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Целевой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16"/>
                <w:highlight w:val="yellow"/>
                <w:vertAlign w:val="superscript"/>
              </w:rPr>
            </w:pPr>
            <w:r>
              <w:rPr>
                <w:color w:val="000000" w:themeColor="text1"/>
                <w:sz w:val="22"/>
                <w:szCs w:val="16"/>
                <w:highlight w:val="yellow"/>
                <w:vertAlign w:val="superscript"/>
              </w:rPr>
            </w:r>
            <w:r>
              <w:rPr>
                <w:color w:val="000000" w:themeColor="text1"/>
                <w:sz w:val="22"/>
                <w:szCs w:val="16"/>
                <w:highlight w:val="yellow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  <w:highlight w:val="yellow"/>
              </w:rPr>
            </w:r>
            <w:r>
              <w:rPr>
                <w:color w:val="000000" w:themeColor="text1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643,3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643,6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643,9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644,2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644,5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644,8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645,1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645,4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645,7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646,0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8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8.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Объем инвестиций в основной капитал за счет всех источников финансирования (по полному кругу), млн. руб.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Базовый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300 691,9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330 498,5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362 743,4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397 626,5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434 285,5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476 046,4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520 832,9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568 749,5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616 342,5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664 713,0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715 497,1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766 440,5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vAlign w:val="center"/>
            <w:textDirection w:val="lrTb"/>
            <w:noWrap w:val="false"/>
          </w:tcPr>
          <w:p>
            <w:pPr>
              <w:jc w:val="both"/>
              <w:rPr>
                <w:iCs/>
                <w:color w:val="000000" w:themeColor="text1"/>
                <w:sz w:val="16"/>
                <w:szCs w:val="16"/>
              </w:rPr>
            </w:pPr>
            <w:r>
              <w:rPr>
                <w:iCs/>
                <w:color w:val="000000" w:themeColor="text1"/>
                <w:sz w:val="16"/>
                <w:szCs w:val="16"/>
              </w:rPr>
              <w:t xml:space="preserve">Темп роста в сопоставимых ценах, %</w:t>
            </w:r>
            <w:r>
              <w:rPr>
                <w:i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98,3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103,5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104,7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104,8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104,8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105,4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105,2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105,0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104,2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103,7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103,5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103,0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1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Объем инвестиций в основной капитал за счет всех источников финансирования (по </w:t>
            </w:r>
            <w:r>
              <w:rPr>
                <w:color w:val="000000" w:themeColor="text1"/>
                <w:sz w:val="16"/>
                <w:szCs w:val="16"/>
              </w:rPr>
              <w:t xml:space="preserve">полному кругу), млн. руб.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Целевой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16"/>
                <w:vertAlign w:val="superscript"/>
              </w:rPr>
            </w:pPr>
            <w:r>
              <w:rPr>
                <w:color w:val="000000" w:themeColor="text1"/>
                <w:sz w:val="22"/>
                <w:szCs w:val="16"/>
                <w:vertAlign w:val="superscript"/>
              </w:rPr>
            </w:r>
            <w:r>
              <w:rPr>
                <w:color w:val="000000" w:themeColor="text1"/>
                <w:sz w:val="22"/>
                <w:szCs w:val="16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367 435,0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418 414,4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479 944,7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558 502,1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655 140,2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784 836,4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960 594,2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1 183 696,0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1 456 154,5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1 782 248,6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vAlign w:val="center"/>
            <w:textDirection w:val="lrTb"/>
            <w:noWrap w:val="false"/>
          </w:tcPr>
          <w:p>
            <w:pPr>
              <w:jc w:val="both"/>
              <w:rPr>
                <w:iCs/>
                <w:color w:val="000000" w:themeColor="text1"/>
                <w:sz w:val="16"/>
                <w:szCs w:val="16"/>
              </w:rPr>
            </w:pPr>
            <w:r>
              <w:rPr>
                <w:iCs/>
                <w:color w:val="000000" w:themeColor="text1"/>
                <w:sz w:val="16"/>
                <w:szCs w:val="16"/>
              </w:rPr>
              <w:t xml:space="preserve">Темп роста в сопоставимых ценах, %</w:t>
            </w:r>
            <w:r>
              <w:rPr>
                <w:i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16"/>
                <w:vertAlign w:val="superscript"/>
              </w:rPr>
            </w:pPr>
            <w:r>
              <w:rPr>
                <w:color w:val="000000" w:themeColor="text1"/>
                <w:sz w:val="22"/>
                <w:szCs w:val="16"/>
                <w:vertAlign w:val="superscript"/>
              </w:rPr>
            </w:r>
            <w:r>
              <w:rPr>
                <w:color w:val="000000" w:themeColor="text1"/>
                <w:sz w:val="22"/>
                <w:szCs w:val="16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106,9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109,6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110,4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112,0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112,9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115,3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117,8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118,6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118,4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117,8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25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9.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Прибыль прибыльных организаций (по крупным и средним организациям), млн. руб.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Базовый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8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398 700,0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291 498,6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291 755,8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312 418,7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338 017,2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363 030,5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386 990,5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412 531,9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441 409,1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472 307,7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505 369,3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540 745,1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vAlign w:val="center"/>
            <w:textDirection w:val="lrTb"/>
            <w:noWrap w:val="false"/>
          </w:tcPr>
          <w:p>
            <w:pPr>
              <w:jc w:val="both"/>
              <w:rPr>
                <w:iCs/>
                <w:color w:val="000000" w:themeColor="text1"/>
                <w:sz w:val="16"/>
                <w:szCs w:val="16"/>
              </w:rPr>
            </w:pPr>
            <w:r>
              <w:rPr>
                <w:iCs/>
                <w:color w:val="000000" w:themeColor="text1"/>
                <w:sz w:val="16"/>
                <w:szCs w:val="16"/>
              </w:rPr>
              <w:t xml:space="preserve">Темп роста, %</w:t>
            </w:r>
            <w:r>
              <w:rPr>
                <w:i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single" w:color="000000" w:sz="4" w:space="0"/>
            </w:tcBorders>
            <w:tcW w:w="1088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122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73,1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100,1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107,1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108,2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107,4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106,6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106,6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107,0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107,0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107,0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107,0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Прибыль прибыльных организаций (по крупным и средним организациям), млн. руб.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Целевой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left w:val="none" w:color="000000" w:sz="4" w:space="0"/>
              <w:right w:val="single" w:color="000000" w:sz="4" w:space="0"/>
            </w:tcBorders>
            <w:tcW w:w="1088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2"/>
                <w:szCs w:val="16"/>
                <w:highlight w:val="yellow"/>
                <w:vertAlign w:val="superscript"/>
              </w:rPr>
            </w:pPr>
            <w:r>
              <w:rPr>
                <w:color w:val="000000" w:themeColor="text1"/>
                <w:sz w:val="22"/>
                <w:szCs w:val="16"/>
                <w:highlight w:val="yellow"/>
                <w:vertAlign w:val="superscript"/>
              </w:rPr>
            </w:r>
            <w:r>
              <w:rPr>
                <w:color w:val="000000" w:themeColor="text1"/>
                <w:sz w:val="22"/>
                <w:szCs w:val="16"/>
                <w:highlight w:val="yellow"/>
                <w:vertAlign w:val="superscript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  <w:highlight w:val="yellow"/>
              </w:rPr>
            </w:r>
            <w:r>
              <w:rPr>
                <w:color w:val="000000" w:themeColor="text1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316 276,0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355 494,2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402 419,4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456 343,6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517 950,0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585 801,5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659 026,7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732 837,7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806 121,4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886 733,6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vAlign w:val="center"/>
            <w:textDirection w:val="lrTb"/>
            <w:noWrap w:val="false"/>
          </w:tcPr>
          <w:p>
            <w:pPr>
              <w:jc w:val="both"/>
              <w:rPr>
                <w:iCs/>
                <w:color w:val="000000" w:themeColor="text1"/>
                <w:sz w:val="16"/>
                <w:szCs w:val="16"/>
              </w:rPr>
            </w:pPr>
            <w:r>
              <w:rPr>
                <w:iCs/>
                <w:color w:val="000000" w:themeColor="text1"/>
                <w:sz w:val="16"/>
                <w:szCs w:val="16"/>
              </w:rPr>
              <w:t xml:space="preserve">Темп роста, %</w:t>
            </w:r>
            <w:r>
              <w:rPr>
                <w:iCs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8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2"/>
                <w:szCs w:val="16"/>
                <w:highlight w:val="yellow"/>
                <w:vertAlign w:val="superscript"/>
              </w:rPr>
            </w:pPr>
            <w:r>
              <w:rPr>
                <w:color w:val="000000" w:themeColor="text1"/>
                <w:sz w:val="22"/>
                <w:szCs w:val="16"/>
                <w:highlight w:val="yellow"/>
                <w:vertAlign w:val="superscript"/>
              </w:rPr>
            </w:r>
            <w:r>
              <w:rPr>
                <w:color w:val="000000" w:themeColor="text1"/>
                <w:sz w:val="22"/>
                <w:szCs w:val="16"/>
                <w:highlight w:val="yellow"/>
                <w:vertAlign w:val="superscript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  <w:highlight w:val="yellow"/>
              </w:rPr>
            </w:r>
            <w:r>
              <w:rPr>
                <w:color w:val="000000" w:themeColor="text1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108,5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112,4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113,2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113,4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113,5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113,1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112,5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111,2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110,0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110,0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10.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Сводный индекс потребительских цен в среднегодовом исчислении,%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Базовый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single" w:color="000000" w:sz="4" w:space="0"/>
            </w:tcBorders>
            <w:tcW w:w="1088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107,6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108,9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105,4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104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104,0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104,0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104,0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104,0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104,0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104,0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104,0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104,0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2" w:type="dxa"/>
            <w:vAlign w:val="bottom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Целевой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8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2"/>
                <w:szCs w:val="16"/>
                <w:vertAlign w:val="superscript"/>
              </w:rPr>
            </w:pPr>
            <w:r>
              <w:rPr>
                <w:color w:val="000000" w:themeColor="text1"/>
                <w:sz w:val="22"/>
                <w:szCs w:val="16"/>
                <w:vertAlign w:val="superscript"/>
              </w:rPr>
            </w:r>
            <w:r>
              <w:rPr>
                <w:color w:val="000000" w:themeColor="text1"/>
                <w:sz w:val="22"/>
                <w:szCs w:val="16"/>
                <w:vertAlign w:val="superscript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vMerge w:val="continue"/>
            <w:textDirection w:val="lrTb"/>
            <w:noWrap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104,0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103,9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103,9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103,9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103,9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103,9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103,9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103,9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103,9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103,9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</w:r>
          </w:p>
        </w:tc>
      </w:tr>
    </w:tbl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sectPr>
          <w:footnotePr/>
          <w:endnotePr/>
          <w:type w:val="continuous"/>
          <w:pgSz w:w="16834" w:h="11907" w:orient="landscape"/>
          <w:pgMar w:top="1134" w:right="1134" w:bottom="851" w:left="567" w:header="709" w:footer="709" w:gutter="0"/>
          <w:cols w:num="1" w:sep="0" w:space="720" w:equalWidth="1"/>
          <w:docGrid w:linePitch="360"/>
        </w:sectPr>
      </w:pPr>
      <w:r/>
      <w:r/>
    </w:p>
    <w:p>
      <w:r/>
      <w:r/>
    </w:p>
    <w:p>
      <w:pPr>
        <w:pStyle w:val="984"/>
        <w:ind w:left="0"/>
        <w:jc w:val="center"/>
        <w:spacing w:after="0" w:line="240" w:lineRule="auto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СОДЕРЖАНИЕ</w:t>
      </w:r>
      <w:r>
        <w:rPr>
          <w:color w:val="000000" w:themeColor="text1"/>
          <w:sz w:val="28"/>
        </w:rPr>
      </w:r>
    </w:p>
    <w:p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</w:r>
      <w:r>
        <w:rPr>
          <w:color w:val="000000" w:themeColor="text1"/>
          <w:sz w:val="28"/>
        </w:rPr>
      </w:r>
    </w:p>
    <w:tbl>
      <w:tblPr>
        <w:tblW w:w="0" w:type="auto"/>
        <w:tblInd w:w="-142" w:type="dxa"/>
        <w:tblLayout w:type="fixed"/>
        <w:tblLook w:val="01E0" w:firstRow="1" w:lastRow="1" w:firstColumn="1" w:lastColumn="1" w:noHBand="0" w:noVBand="0"/>
      </w:tblPr>
      <w:tblGrid>
        <w:gridCol w:w="8222"/>
        <w:gridCol w:w="127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22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  <w:sz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Стр.</w:t>
            </w:r>
            <w:r>
              <w:rPr>
                <w:color w:val="000000" w:themeColor="text1"/>
                <w:sz w:val="28"/>
              </w:rPr>
            </w:r>
          </w:p>
          <w:p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222" w:type="dxa"/>
            <w:textDirection w:val="lrTb"/>
            <w:noWrap w:val="false"/>
          </w:tcPr>
          <w:p>
            <w:pPr>
              <w:pStyle w:val="984"/>
              <w:ind w:left="0" w:firstLine="597"/>
              <w:jc w:val="both"/>
              <w:spacing w:after="0" w:line="240" w:lineRule="auto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 xml:space="preserve">1.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Оценка достигнутого уровня социально-экономического развития города Нижнего Новгорода 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lang w:val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3</w:t>
            </w:r>
            <w:r>
              <w:rPr>
                <w:color w:val="000000" w:themeColor="text1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222" w:type="dxa"/>
            <w:textDirection w:val="lrTb"/>
            <w:noWrap w:val="false"/>
          </w:tcPr>
          <w:p>
            <w:pPr>
              <w:ind w:firstLine="59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2. Определение вариантов социально-экономического развития города Нижнего Новгорода на долгосрочный период 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6</w:t>
            </w:r>
            <w:r>
              <w:rPr>
                <w:color w:val="000000" w:themeColor="text1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222" w:type="dxa"/>
            <w:textDirection w:val="lrTb"/>
            <w:noWrap w:val="false"/>
          </w:tcPr>
          <w:p>
            <w:pPr>
              <w:ind w:firstLine="59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3.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Оценка факторов и ограничений экономического роста города Нижнего Новгорода на долгосрочный период 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  <w:highlight w:val="yellow"/>
              </w:rPr>
            </w:pPr>
            <w:r>
              <w:rPr>
                <w:color w:val="000000" w:themeColor="text1"/>
                <w:sz w:val="28"/>
              </w:rPr>
              <w:t xml:space="preserve">6</w:t>
            </w:r>
            <w:r>
              <w:rPr>
                <w:color w:val="000000" w:themeColor="text1"/>
                <w:sz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222" w:type="dxa"/>
            <w:textDirection w:val="lrTb"/>
            <w:noWrap w:val="false"/>
          </w:tcPr>
          <w:p>
            <w:pPr>
              <w:pStyle w:val="984"/>
              <w:ind w:left="0" w:firstLine="597"/>
              <w:jc w:val="both"/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3.1. Факторы экономического роста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color w:val="000000" w:themeColor="text1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222" w:type="dxa"/>
            <w:textDirection w:val="lrTb"/>
            <w:noWrap w:val="false"/>
          </w:tcPr>
          <w:p>
            <w:pPr>
              <w:ind w:firstLine="597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3.2. </w:t>
            </w:r>
            <w:r>
              <w:rPr>
                <w:color w:val="000000" w:themeColor="text1"/>
                <w:sz w:val="28"/>
                <w:szCs w:val="28"/>
              </w:rPr>
              <w:t xml:space="preserve">Ограничения экономического роста </w:t>
            </w:r>
            <w:r>
              <w:rPr>
                <w:color w:val="000000" w:themeColor="text1"/>
                <w:sz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  <w:highlight w:val="yellow"/>
              </w:rPr>
            </w:pPr>
            <w:r>
              <w:rPr>
                <w:color w:val="000000" w:themeColor="text1"/>
                <w:sz w:val="28"/>
              </w:rPr>
              <w:t xml:space="preserve">7</w:t>
            </w:r>
            <w:r>
              <w:rPr>
                <w:color w:val="000000" w:themeColor="text1"/>
                <w:sz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222" w:type="dxa"/>
            <w:textDirection w:val="lrTb"/>
            <w:noWrap w:val="false"/>
          </w:tcPr>
          <w:p>
            <w:pPr>
              <w:ind w:firstLine="597"/>
              <w:jc w:val="both"/>
              <w:rPr>
                <w:color w:val="000000" w:themeColor="text1"/>
                <w:sz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4. Основные параметры прогноза социально-экономического развития города Нижнего Новгорода на долгосрочный период </w:t>
            </w:r>
            <w:r>
              <w:rPr>
                <w:color w:val="000000" w:themeColor="text1"/>
                <w:sz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  <w:highlight w:val="yellow"/>
              </w:rPr>
            </w:pPr>
            <w:r>
              <w:rPr>
                <w:color w:val="000000" w:themeColor="text1"/>
                <w:sz w:val="28"/>
              </w:rPr>
              <w:t xml:space="preserve">9</w:t>
            </w:r>
            <w:r>
              <w:rPr>
                <w:color w:val="000000" w:themeColor="text1"/>
                <w:sz w:val="28"/>
                <w:highlight w:val="yellow"/>
              </w:rPr>
            </w:r>
          </w:p>
        </w:tc>
      </w:tr>
    </w:tbl>
    <w:p>
      <w:pPr>
        <w:ind w:firstLine="637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sectPr>
      <w:headerReference w:type="default" r:id="rId11"/>
      <w:footnotePr/>
      <w:endnotePr/>
      <w:type w:val="continuous"/>
      <w:pgSz w:w="11907" w:h="16834" w:orient="portrait"/>
      <w:pgMar w:top="1134" w:right="851" w:bottom="567" w:left="1134" w:header="289" w:footer="28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Wingdings">
    <w:panose1 w:val="05010000000000000000"/>
  </w:font>
  <w:font w:name="Symbol">
    <w:panose1 w:val="05010000000000000000"/>
  </w:font>
  <w:font w:name="Droid Sans Fallback">
    <w:panose1 w:val="020B0502000000000001"/>
  </w:font>
  <w:font w:name="Droid Sans Devanagari">
    <w:panose1 w:val="020B0606030804020204"/>
  </w:font>
  <w:font w:name="Liberation Serif">
    <w:panose1 w:val="02020603050405020304"/>
  </w:font>
  <w:font w:name="Franklin Gothic Medium Cond">
    <w:panose1 w:val="020B0604020202020204"/>
  </w:font>
  <w:font w:name="Tahoma">
    <w:panose1 w:val="020B0604030504040204"/>
  </w:font>
  <w:font w:name="Georgia">
    <w:panose1 w:val="02040502050405020303"/>
  </w:font>
  <w:font w:name="MS Sans Serif">
    <w:panose1 w:val="02000603000000000000"/>
  </w:font>
  <w:font w:name="Verdana">
    <w:panose1 w:val="020B0604030504040204"/>
  </w:font>
  <w:font w:name="Courier New">
    <w:panose1 w:val="02070309020205020404"/>
  </w:font>
  <w:font w:name="Mangal">
    <w:panose1 w:val="02040503050406030204"/>
  </w:font>
  <w:font w:name="Segoe UI">
    <w:panose1 w:val="020B0503020203020204"/>
  </w:font>
  <w:font w:name="Microsoft Sans Serif">
    <w:panose1 w:val="020B0604020202020204"/>
  </w:font>
  <w:font w:name="Cambria">
    <w:panose1 w:val="02040503050406030204"/>
  </w:font>
  <w:font w:name="Times New Roman">
    <w:panose1 w:val="02020603050405020304"/>
  </w:font>
  <w:font w:name="BalticaCTT">
    <w:panose1 w:val="02000603000000000000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center"/>
    </w:pPr>
    <w:fldSimple w:instr="PAGE \* MERGEFORMAT">
      <w:r>
        <w:t xml:space="preserve">1</w:t>
      </w:r>
    </w:fldSimple>
    <w:r/>
    <w:r/>
  </w:p>
  <w:p>
    <w:pPr>
      <w:pStyle w:val="729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center"/>
    </w:pPr>
    <w:fldSimple w:instr="PAGE \* MERGEFORMAT">
      <w:r>
        <w:t xml:space="preserve">1</w:t>
      </w:r>
    </w:fldSimple>
    <w:r/>
    <w:r/>
  </w:p>
  <w:p>
    <w:pPr>
      <w:pStyle w:val="729"/>
    </w:pP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8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2229" w:hanging="1515"/>
      </w:pPr>
      <w:rPr>
        <w:rFonts w:cs="Times New Roman"/>
      </w:rPr>
    </w:lvl>
    <w:lvl w:ilvl="2">
      <w:start w:val="2"/>
      <w:numFmt w:val="decimal"/>
      <w:isLgl w:val="false"/>
      <w:suff w:val="tab"/>
      <w:lvlText w:val="%1.%2.%3."/>
      <w:lvlJc w:val="left"/>
      <w:pPr>
        <w:ind w:left="2234" w:hanging="1515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39" w:hanging="1515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44" w:hanging="1515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249" w:hanging="1515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39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44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909" w:hanging="216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5" w:hanging="1425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779" w:hanging="1425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3" w:hanging="1425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87" w:hanging="1425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841" w:hanging="1425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bullet"/>
      <w:pStyle w:val="1066"/>
      <w:isLgl w:val="false"/>
      <w:suff w:val="tab"/>
      <w:lvlText w:val=""/>
      <w:lvlJc w:val="left"/>
      <w:pPr>
        <w:ind w:left="991" w:hanging="283"/>
        <w:tabs>
          <w:tab w:val="num" w:pos="424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64" w:hanging="360"/>
        <w:tabs>
          <w:tab w:val="num" w:pos="1864" w:leader="none"/>
        </w:tabs>
      </w:pPr>
      <w:rPr>
        <w:rFonts w:ascii="Courier New" w:hAnsi="Courier New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584" w:hanging="360"/>
        <w:tabs>
          <w:tab w:val="num" w:pos="2584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4" w:hanging="360"/>
        <w:tabs>
          <w:tab w:val="num" w:pos="3304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4" w:hanging="360"/>
        <w:tabs>
          <w:tab w:val="num" w:pos="4024" w:leader="none"/>
        </w:tabs>
      </w:pPr>
      <w:rPr>
        <w:rFonts w:ascii="Courier New" w:hAnsi="Courier New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4744" w:hanging="360"/>
        <w:tabs>
          <w:tab w:val="num" w:pos="4744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4" w:hanging="360"/>
        <w:tabs>
          <w:tab w:val="num" w:pos="5464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4" w:hanging="360"/>
        <w:tabs>
          <w:tab w:val="num" w:pos="6184" w:leader="none"/>
        </w:tabs>
      </w:pPr>
      <w:rPr>
        <w:rFonts w:ascii="Courier New" w:hAnsi="Courier New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6904" w:hanging="360"/>
        <w:tabs>
          <w:tab w:val="num" w:pos="6904" w:leader="none"/>
        </w:tabs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5" w:hanging="1425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779" w:hanging="1425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3" w:hanging="1425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87" w:hanging="1425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841" w:hanging="1425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  <w:rPr>
        <w:rFonts w:cs="Times New Roman"/>
      </w:rPr>
    </w:lvl>
  </w:abstractNum>
  <w:abstractNum w:abstractNumId="1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5" w:hanging="1425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779" w:hanging="1425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3" w:hanging="1425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87" w:hanging="1425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841" w:hanging="1425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3"/>
  </w:num>
  <w:num w:numId="5">
    <w:abstractNumId w:val="7"/>
  </w:num>
  <w:num w:numId="6">
    <w:abstractNumId w:val="9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6"/>
  </w:num>
  <w:num w:numId="12">
    <w:abstractNumId w:val="1"/>
  </w:num>
  <w:num w:numId="13">
    <w:abstractNumId w:val="1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6">
    <w:name w:val="Footer Char"/>
    <w:basedOn w:val="726"/>
    <w:link w:val="730"/>
    <w:uiPriority w:val="99"/>
  </w:style>
  <w:style w:type="paragraph" w:styleId="716" w:default="1">
    <w:name w:val="Normal"/>
    <w:qFormat/>
    <w:rPr>
      <w:rFonts w:eastAsia="Calibri"/>
      <w:color w:val="000000"/>
      <w:sz w:val="24"/>
      <w:szCs w:val="24"/>
      <w:lang w:eastAsia="ru-RU"/>
    </w:rPr>
  </w:style>
  <w:style w:type="paragraph" w:styleId="717">
    <w:name w:val="Heading 1"/>
    <w:basedOn w:val="716"/>
    <w:next w:val="71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8">
    <w:name w:val="Heading 2"/>
    <w:basedOn w:val="716"/>
    <w:next w:val="7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9">
    <w:name w:val="Heading 3"/>
    <w:basedOn w:val="716"/>
    <w:next w:val="7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0">
    <w:name w:val="Heading 4"/>
    <w:basedOn w:val="716"/>
    <w:next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1">
    <w:name w:val="Heading 5"/>
    <w:basedOn w:val="716"/>
    <w:next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22">
    <w:name w:val="Heading 6"/>
    <w:basedOn w:val="716"/>
    <w:next w:val="71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3">
    <w:name w:val="Heading 7"/>
    <w:basedOn w:val="716"/>
    <w:next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716"/>
    <w:next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716"/>
    <w:next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 w:default="1">
    <w:name w:val="Default Paragraph Font"/>
    <w:uiPriority w:val="1"/>
    <w:semiHidden/>
    <w:unhideWhenUsed/>
  </w:style>
  <w:style w:type="table" w:styleId="7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8" w:default="1">
    <w:name w:val="No List"/>
    <w:uiPriority w:val="99"/>
    <w:semiHidden/>
    <w:unhideWhenUsed/>
  </w:style>
  <w:style w:type="paragraph" w:styleId="729">
    <w:name w:val="Header"/>
    <w:basedOn w:val="716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30">
    <w:name w:val="Footer"/>
    <w:basedOn w:val="716"/>
    <w:link w:val="1178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31">
    <w:name w:val="Caption"/>
    <w:basedOn w:val="716"/>
    <w:next w:val="7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32">
    <w:name w:val="Plain Table 1"/>
    <w:basedOn w:val="72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72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72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72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72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72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72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72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72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5 Dark"/>
    <w:basedOn w:val="72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2">
    <w:name w:val="Grid Table 6 Colorful"/>
    <w:basedOn w:val="72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3">
    <w:name w:val="Grid Table 7 Colorful"/>
    <w:basedOn w:val="72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72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2"/>
    <w:basedOn w:val="72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6">
    <w:name w:val="List Table 3"/>
    <w:basedOn w:val="72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72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5 Dark"/>
    <w:basedOn w:val="72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49">
    <w:name w:val="List Table 6 Colorful"/>
    <w:basedOn w:val="72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50">
    <w:name w:val="List Table 7 Colorful"/>
    <w:basedOn w:val="72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Таблица простая 11"/>
    <w:basedOn w:val="72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 w:customStyle="1">
    <w:name w:val="Таблица простая 21"/>
    <w:basedOn w:val="72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 w:customStyle="1">
    <w:name w:val="Таблица простая 31"/>
    <w:basedOn w:val="72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4" w:customStyle="1">
    <w:name w:val="Таблица простая 41"/>
    <w:basedOn w:val="72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Таблица простая 51"/>
    <w:basedOn w:val="72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6" w:customStyle="1">
    <w:name w:val="Таблица-сетка 1 светлая1"/>
    <w:basedOn w:val="72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Таблица-сетка 21"/>
    <w:basedOn w:val="72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Таблица-сетка 31"/>
    <w:basedOn w:val="72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Таблица-сетка 41"/>
    <w:basedOn w:val="72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 w:customStyle="1">
    <w:name w:val="Таблица-сетка 5 темная1"/>
    <w:basedOn w:val="72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Таблица-сетка 6 цветная1"/>
    <w:basedOn w:val="72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2" w:customStyle="1">
    <w:name w:val="Таблица-сетка 7 цветная1"/>
    <w:basedOn w:val="72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Список-таблица 1 светлая1"/>
    <w:basedOn w:val="72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Список-таблица 21"/>
    <w:basedOn w:val="72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5" w:customStyle="1">
    <w:name w:val="Список-таблица 31"/>
    <w:basedOn w:val="72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Список-таблица 41"/>
    <w:basedOn w:val="72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Список-таблица 5 темная1"/>
    <w:basedOn w:val="72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8" w:customStyle="1">
    <w:name w:val="Список-таблица 6 цветная1"/>
    <w:basedOn w:val="72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9" w:customStyle="1">
    <w:name w:val="Список-таблица 7 цветная1"/>
    <w:basedOn w:val="72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paragraph" w:styleId="770" w:customStyle="1">
    <w:name w:val="Заголовок 11"/>
    <w:basedOn w:val="716"/>
    <w:next w:val="716"/>
    <w:link w:val="971"/>
    <w:qFormat/>
    <w:pPr>
      <w:ind w:firstLine="426"/>
      <w:jc w:val="both"/>
      <w:keepNext/>
      <w:outlineLvl w:val="0"/>
    </w:pPr>
    <w:rPr>
      <w:rFonts w:eastAsia="Times New Roman"/>
      <w:sz w:val="28"/>
      <w:szCs w:val="20"/>
      <w:lang w:val="en-US" w:eastAsia="en-US"/>
    </w:rPr>
  </w:style>
  <w:style w:type="paragraph" w:styleId="771" w:customStyle="1">
    <w:name w:val="Заголовок 21"/>
    <w:basedOn w:val="716"/>
    <w:next w:val="7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72" w:customStyle="1">
    <w:name w:val="Заголовок 31"/>
    <w:basedOn w:val="716"/>
    <w:next w:val="716"/>
    <w:link w:val="973"/>
    <w:uiPriority w:val="99"/>
    <w:qFormat/>
    <w:pPr>
      <w:jc w:val="both"/>
      <w:keepNext/>
      <w:outlineLvl w:val="2"/>
    </w:pPr>
    <w:rPr>
      <w:rFonts w:eastAsia="Times New Roman"/>
      <w:sz w:val="28"/>
      <w:szCs w:val="20"/>
      <w:lang w:val="en-US" w:eastAsia="en-US"/>
    </w:rPr>
  </w:style>
  <w:style w:type="paragraph" w:styleId="773" w:customStyle="1">
    <w:name w:val="Заголовок 41"/>
    <w:basedOn w:val="716"/>
    <w:next w:val="716"/>
    <w:link w:val="974"/>
    <w:uiPriority w:val="99"/>
    <w:qFormat/>
    <w:pPr>
      <w:ind w:firstLine="851"/>
      <w:keepNext/>
      <w:outlineLvl w:val="3"/>
    </w:pPr>
    <w:rPr>
      <w:rFonts w:eastAsia="Times New Roman"/>
      <w:sz w:val="28"/>
      <w:szCs w:val="20"/>
      <w:lang w:val="en-US" w:eastAsia="en-US"/>
    </w:rPr>
  </w:style>
  <w:style w:type="paragraph" w:styleId="774" w:customStyle="1">
    <w:name w:val="Заголовок 51"/>
    <w:basedOn w:val="716"/>
    <w:next w:val="716"/>
    <w:link w:val="975"/>
    <w:uiPriority w:val="99"/>
    <w:qFormat/>
    <w:pPr>
      <w:keepNext/>
      <w:outlineLvl w:val="4"/>
    </w:pPr>
    <w:rPr>
      <w:rFonts w:eastAsia="Times New Roman"/>
      <w:szCs w:val="20"/>
      <w:lang w:val="en-US" w:eastAsia="en-US"/>
    </w:rPr>
  </w:style>
  <w:style w:type="paragraph" w:styleId="775" w:customStyle="1">
    <w:name w:val="Заголовок 61"/>
    <w:basedOn w:val="716"/>
    <w:next w:val="716"/>
    <w:link w:val="976"/>
    <w:uiPriority w:val="99"/>
    <w:qFormat/>
    <w:pPr>
      <w:jc w:val="center"/>
      <w:keepNext/>
      <w:outlineLvl w:val="5"/>
    </w:pPr>
    <w:rPr>
      <w:rFonts w:eastAsia="Times New Roman"/>
      <w:b/>
      <w:sz w:val="44"/>
      <w:szCs w:val="20"/>
      <w:lang w:val="en-US" w:eastAsia="en-US"/>
    </w:rPr>
  </w:style>
  <w:style w:type="paragraph" w:styleId="776" w:customStyle="1">
    <w:name w:val="Заголовок 71"/>
    <w:basedOn w:val="716"/>
    <w:next w:val="716"/>
    <w:link w:val="963"/>
    <w:uiPriority w:val="99"/>
    <w:unhideWhenUsed/>
    <w:qFormat/>
    <w:pPr>
      <w:keepLines/>
      <w:keepNext/>
      <w:spacing w:before="40"/>
      <w:outlineLvl w:val="6"/>
    </w:pPr>
    <w:rPr>
      <w:rFonts w:ascii="Cambria" w:hAnsi="Cambria" w:eastAsia="Times New Roman"/>
      <w:i/>
      <w:iCs/>
      <w:color w:val="243f60"/>
      <w:sz w:val="20"/>
      <w:szCs w:val="20"/>
      <w:lang w:val="en-US" w:eastAsia="en-US"/>
    </w:rPr>
  </w:style>
  <w:style w:type="paragraph" w:styleId="777" w:customStyle="1">
    <w:name w:val="Заголовок 81"/>
    <w:basedOn w:val="716"/>
    <w:next w:val="716"/>
    <w:link w:val="964"/>
    <w:uiPriority w:val="99"/>
    <w:unhideWhenUsed/>
    <w:qFormat/>
    <w:pPr>
      <w:keepLines/>
      <w:keepNext/>
      <w:spacing w:before="40"/>
      <w:outlineLvl w:val="7"/>
    </w:pPr>
    <w:rPr>
      <w:rFonts w:ascii="Cambria" w:hAnsi="Cambria" w:eastAsia="Times New Roman"/>
      <w:color w:val="272727"/>
      <w:sz w:val="21"/>
      <w:szCs w:val="21"/>
      <w:lang w:val="en-US" w:eastAsia="en-US"/>
    </w:rPr>
  </w:style>
  <w:style w:type="paragraph" w:styleId="778" w:customStyle="1">
    <w:name w:val="Заголовок 91"/>
    <w:basedOn w:val="716"/>
    <w:next w:val="716"/>
    <w:link w:val="965"/>
    <w:uiPriority w:val="99"/>
    <w:unhideWhenUsed/>
    <w:qFormat/>
    <w:pPr>
      <w:keepLines/>
      <w:keepNext/>
      <w:spacing w:before="40"/>
      <w:outlineLvl w:val="8"/>
    </w:pPr>
    <w:rPr>
      <w:rFonts w:ascii="Cambria" w:hAnsi="Cambria" w:eastAsia="Times New Roman"/>
      <w:i/>
      <w:iCs/>
      <w:color w:val="272727"/>
      <w:sz w:val="21"/>
      <w:szCs w:val="21"/>
      <w:lang w:val="en-US" w:eastAsia="en-US"/>
    </w:rPr>
  </w:style>
  <w:style w:type="character" w:styleId="779" w:customStyle="1">
    <w:name w:val="Quote Char"/>
    <w:uiPriority w:val="29"/>
    <w:rPr>
      <w:i/>
    </w:rPr>
  </w:style>
  <w:style w:type="character" w:styleId="780" w:customStyle="1">
    <w:name w:val="Intense Quote Char"/>
    <w:uiPriority w:val="30"/>
    <w:rPr>
      <w:i/>
    </w:rPr>
  </w:style>
  <w:style w:type="character" w:styleId="781" w:customStyle="1">
    <w:name w:val="Footnote Text Char"/>
    <w:uiPriority w:val="99"/>
    <w:rPr>
      <w:sz w:val="18"/>
    </w:rPr>
  </w:style>
  <w:style w:type="character" w:styleId="782" w:customStyle="1">
    <w:name w:val="Endnote Text Char"/>
    <w:uiPriority w:val="99"/>
    <w:rPr>
      <w:sz w:val="20"/>
    </w:rPr>
  </w:style>
  <w:style w:type="paragraph" w:styleId="783" w:customStyle="1">
    <w:name w:val="Заголовок 11"/>
    <w:basedOn w:val="716"/>
    <w:next w:val="716"/>
    <w:link w:val="11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84" w:customStyle="1">
    <w:name w:val="Заголовок 21"/>
    <w:basedOn w:val="716"/>
    <w:next w:val="716"/>
    <w:link w:val="7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5" w:customStyle="1">
    <w:name w:val="Heading 2 Char"/>
    <w:link w:val="784"/>
    <w:uiPriority w:val="9"/>
    <w:rPr>
      <w:rFonts w:ascii="Arial" w:hAnsi="Arial" w:eastAsia="Arial" w:cs="Arial"/>
      <w:sz w:val="34"/>
    </w:rPr>
  </w:style>
  <w:style w:type="paragraph" w:styleId="786" w:customStyle="1">
    <w:name w:val="Заголовок 31"/>
    <w:basedOn w:val="716"/>
    <w:next w:val="716"/>
    <w:link w:val="11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7" w:customStyle="1">
    <w:name w:val="Заголовок 41"/>
    <w:basedOn w:val="716"/>
    <w:next w:val="716"/>
    <w:link w:val="11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8" w:customStyle="1">
    <w:name w:val="Заголовок 51"/>
    <w:basedOn w:val="716"/>
    <w:next w:val="716"/>
    <w:link w:val="11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89" w:customStyle="1">
    <w:name w:val="Заголовок 61"/>
    <w:basedOn w:val="716"/>
    <w:next w:val="716"/>
    <w:link w:val="11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0" w:customStyle="1">
    <w:name w:val="Заголовок 71"/>
    <w:basedOn w:val="716"/>
    <w:next w:val="716"/>
    <w:link w:val="11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1" w:customStyle="1">
    <w:name w:val="Заголовок 81"/>
    <w:basedOn w:val="716"/>
    <w:next w:val="716"/>
    <w:link w:val="11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2" w:customStyle="1">
    <w:name w:val="Заголовок 91"/>
    <w:basedOn w:val="716"/>
    <w:next w:val="716"/>
    <w:link w:val="7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 w:customStyle="1">
    <w:name w:val="Heading 9 Char"/>
    <w:link w:val="792"/>
    <w:uiPriority w:val="9"/>
    <w:rPr>
      <w:rFonts w:ascii="Arial" w:hAnsi="Arial" w:eastAsia="Arial" w:cs="Arial"/>
      <w:i/>
      <w:iCs/>
      <w:sz w:val="21"/>
      <w:szCs w:val="21"/>
    </w:rPr>
  </w:style>
  <w:style w:type="paragraph" w:styleId="794">
    <w:name w:val="List Paragraph"/>
    <w:basedOn w:val="716"/>
    <w:link w:val="997"/>
    <w:uiPriority w:val="34"/>
    <w:qFormat/>
    <w:pPr>
      <w:contextualSpacing/>
      <w:ind w:left="720"/>
    </w:pPr>
    <w:rPr>
      <w:rFonts w:ascii="Calibri" w:hAnsi="Calibri" w:eastAsia="Times New Roman"/>
      <w:sz w:val="22"/>
      <w:szCs w:val="22"/>
      <w:lang w:val="en-US" w:eastAsia="en-US"/>
    </w:rPr>
  </w:style>
  <w:style w:type="paragraph" w:styleId="795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paragraph" w:styleId="796">
    <w:name w:val="Title"/>
    <w:basedOn w:val="716"/>
    <w:next w:val="716"/>
    <w:link w:val="988"/>
    <w:qFormat/>
    <w:pPr>
      <w:contextualSpacing/>
    </w:pPr>
    <w:rPr>
      <w:rFonts w:eastAsia="Times New Roman"/>
      <w:sz w:val="28"/>
      <w:szCs w:val="20"/>
      <w:lang w:val="en-US" w:eastAsia="en-US"/>
    </w:rPr>
  </w:style>
  <w:style w:type="paragraph" w:styleId="797">
    <w:name w:val="Subtitle"/>
    <w:basedOn w:val="716"/>
    <w:next w:val="716"/>
    <w:link w:val="991"/>
    <w:qFormat/>
    <w:pPr>
      <w:numPr>
        <w:ilvl w:val="1"/>
      </w:numPr>
      <w:spacing w:after="160"/>
    </w:pPr>
    <w:rPr>
      <w:rFonts w:ascii="Cambria" w:hAnsi="Cambria" w:eastAsia="Times New Roman"/>
      <w:i/>
      <w:iCs/>
      <w:color w:val="4f81bd"/>
      <w:spacing w:val="15"/>
      <w:lang w:val="en-US" w:eastAsia="en-US"/>
    </w:rPr>
  </w:style>
  <w:style w:type="character" w:styleId="798" w:customStyle="1">
    <w:name w:val="Subtitle Char"/>
    <w:uiPriority w:val="11"/>
    <w:rPr>
      <w:sz w:val="24"/>
      <w:szCs w:val="24"/>
    </w:rPr>
  </w:style>
  <w:style w:type="paragraph" w:styleId="799">
    <w:name w:val="Quote"/>
    <w:basedOn w:val="716"/>
    <w:next w:val="716"/>
    <w:link w:val="800"/>
    <w:uiPriority w:val="29"/>
    <w:qFormat/>
    <w:pPr>
      <w:ind w:left="720" w:right="720"/>
    </w:pPr>
    <w:rPr>
      <w:i/>
    </w:rPr>
  </w:style>
  <w:style w:type="character" w:styleId="800" w:customStyle="1">
    <w:name w:val="Цитата 2 Знак"/>
    <w:link w:val="799"/>
    <w:uiPriority w:val="29"/>
    <w:rPr>
      <w:i/>
    </w:rPr>
  </w:style>
  <w:style w:type="paragraph" w:styleId="801">
    <w:name w:val="Intense Quote"/>
    <w:basedOn w:val="716"/>
    <w:next w:val="716"/>
    <w:link w:val="8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2" w:customStyle="1">
    <w:name w:val="Выделенная цитата Знак"/>
    <w:link w:val="801"/>
    <w:uiPriority w:val="30"/>
    <w:rPr>
      <w:i/>
    </w:rPr>
  </w:style>
  <w:style w:type="paragraph" w:styleId="803" w:customStyle="1">
    <w:name w:val="Верхний колонтитул1"/>
    <w:basedOn w:val="716"/>
    <w:link w:val="1176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804" w:customStyle="1">
    <w:name w:val="Нижний колонтитул1"/>
    <w:basedOn w:val="716"/>
    <w:link w:val="806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805" w:customStyle="1">
    <w:name w:val="Название объекта1"/>
    <w:basedOn w:val="716"/>
    <w:next w:val="7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6" w:customStyle="1">
    <w:name w:val="Caption Char"/>
    <w:link w:val="804"/>
    <w:uiPriority w:val="99"/>
  </w:style>
  <w:style w:type="table" w:styleId="807">
    <w:name w:val="Table Grid"/>
    <w:basedOn w:val="727"/>
    <w:uiPriority w:val="59"/>
    <w:pPr>
      <w:ind w:firstLine="709"/>
      <w:jc w:val="both"/>
    </w:pPr>
    <w:tblPr/>
  </w:style>
  <w:style w:type="table" w:styleId="808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9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1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2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4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6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7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8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9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0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1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2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9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0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1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2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3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4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5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6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7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9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00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1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2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3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4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5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3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4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5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6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7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8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9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0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1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2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3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4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5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6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7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8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9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30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1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2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33">
    <w:name w:val="Hyperlink"/>
    <w:uiPriority w:val="99"/>
    <w:unhideWhenUsed/>
    <w:rPr>
      <w:rFonts w:ascii="Times New Roman" w:hAnsi="Times New Roman" w:cs="Times New Roman"/>
      <w:color w:val="0000ff"/>
      <w:u w:val="single"/>
    </w:rPr>
  </w:style>
  <w:style w:type="paragraph" w:styleId="934">
    <w:name w:val="footnote text"/>
    <w:basedOn w:val="716"/>
    <w:link w:val="935"/>
    <w:uiPriority w:val="99"/>
    <w:semiHidden/>
    <w:unhideWhenUsed/>
    <w:pPr>
      <w:spacing w:after="40"/>
    </w:pPr>
    <w:rPr>
      <w:sz w:val="18"/>
    </w:rPr>
  </w:style>
  <w:style w:type="character" w:styleId="935" w:customStyle="1">
    <w:name w:val="Текст сноски Знак"/>
    <w:link w:val="934"/>
    <w:uiPriority w:val="99"/>
    <w:rPr>
      <w:sz w:val="18"/>
    </w:rPr>
  </w:style>
  <w:style w:type="character" w:styleId="936">
    <w:name w:val="footnote reference"/>
    <w:uiPriority w:val="99"/>
    <w:unhideWhenUsed/>
    <w:rPr>
      <w:vertAlign w:val="superscript"/>
    </w:rPr>
  </w:style>
  <w:style w:type="paragraph" w:styleId="937">
    <w:name w:val="endnote text"/>
    <w:basedOn w:val="716"/>
    <w:link w:val="938"/>
    <w:uiPriority w:val="99"/>
    <w:semiHidden/>
    <w:unhideWhenUsed/>
    <w:rPr>
      <w:sz w:val="20"/>
    </w:rPr>
  </w:style>
  <w:style w:type="character" w:styleId="938" w:customStyle="1">
    <w:name w:val="Текст концевой сноски Знак"/>
    <w:link w:val="937"/>
    <w:uiPriority w:val="99"/>
    <w:rPr>
      <w:sz w:val="20"/>
    </w:rPr>
  </w:style>
  <w:style w:type="character" w:styleId="939">
    <w:name w:val="endnote reference"/>
    <w:uiPriority w:val="99"/>
    <w:semiHidden/>
    <w:unhideWhenUsed/>
    <w:rPr>
      <w:vertAlign w:val="superscript"/>
    </w:rPr>
  </w:style>
  <w:style w:type="paragraph" w:styleId="940">
    <w:name w:val="toc 1"/>
    <w:basedOn w:val="716"/>
    <w:next w:val="716"/>
    <w:uiPriority w:val="39"/>
    <w:unhideWhenUsed/>
    <w:pPr>
      <w:spacing w:after="57"/>
    </w:pPr>
  </w:style>
  <w:style w:type="paragraph" w:styleId="941">
    <w:name w:val="toc 2"/>
    <w:basedOn w:val="716"/>
    <w:next w:val="716"/>
    <w:uiPriority w:val="39"/>
    <w:unhideWhenUsed/>
    <w:pPr>
      <w:ind w:left="283"/>
      <w:spacing w:after="57"/>
    </w:pPr>
  </w:style>
  <w:style w:type="paragraph" w:styleId="942">
    <w:name w:val="toc 3"/>
    <w:basedOn w:val="716"/>
    <w:next w:val="716"/>
    <w:uiPriority w:val="39"/>
    <w:unhideWhenUsed/>
    <w:pPr>
      <w:ind w:left="567"/>
      <w:spacing w:after="57"/>
    </w:pPr>
  </w:style>
  <w:style w:type="paragraph" w:styleId="943">
    <w:name w:val="toc 4"/>
    <w:basedOn w:val="716"/>
    <w:next w:val="716"/>
    <w:uiPriority w:val="39"/>
    <w:unhideWhenUsed/>
    <w:pPr>
      <w:ind w:left="850"/>
      <w:spacing w:after="57"/>
    </w:pPr>
  </w:style>
  <w:style w:type="paragraph" w:styleId="944">
    <w:name w:val="toc 5"/>
    <w:basedOn w:val="716"/>
    <w:next w:val="716"/>
    <w:uiPriority w:val="39"/>
    <w:unhideWhenUsed/>
    <w:pPr>
      <w:ind w:left="1134"/>
      <w:spacing w:after="57"/>
    </w:pPr>
  </w:style>
  <w:style w:type="paragraph" w:styleId="945">
    <w:name w:val="toc 6"/>
    <w:basedOn w:val="716"/>
    <w:next w:val="716"/>
    <w:uiPriority w:val="39"/>
    <w:unhideWhenUsed/>
    <w:pPr>
      <w:ind w:left="1417"/>
      <w:spacing w:after="57"/>
    </w:pPr>
  </w:style>
  <w:style w:type="paragraph" w:styleId="946">
    <w:name w:val="toc 7"/>
    <w:basedOn w:val="716"/>
    <w:next w:val="716"/>
    <w:uiPriority w:val="39"/>
    <w:unhideWhenUsed/>
    <w:pPr>
      <w:ind w:left="1701"/>
      <w:spacing w:after="57"/>
    </w:pPr>
  </w:style>
  <w:style w:type="paragraph" w:styleId="947">
    <w:name w:val="toc 8"/>
    <w:basedOn w:val="716"/>
    <w:next w:val="716"/>
    <w:uiPriority w:val="39"/>
    <w:unhideWhenUsed/>
    <w:pPr>
      <w:ind w:left="1984"/>
      <w:spacing w:after="57"/>
    </w:pPr>
  </w:style>
  <w:style w:type="paragraph" w:styleId="948">
    <w:name w:val="toc 9"/>
    <w:basedOn w:val="716"/>
    <w:next w:val="716"/>
    <w:uiPriority w:val="39"/>
    <w:unhideWhenUsed/>
    <w:pPr>
      <w:ind w:left="2268"/>
      <w:spacing w:after="57"/>
    </w:pPr>
  </w:style>
  <w:style w:type="paragraph" w:styleId="949">
    <w:name w:val="TOC Heading"/>
    <w:uiPriority w:val="39"/>
    <w:unhideWhenUsed/>
  </w:style>
  <w:style w:type="paragraph" w:styleId="950">
    <w:name w:val="table of figures"/>
    <w:basedOn w:val="716"/>
    <w:next w:val="716"/>
    <w:uiPriority w:val="99"/>
    <w:unhideWhenUsed/>
  </w:style>
  <w:style w:type="paragraph" w:styleId="951" w:customStyle="1">
    <w:name w:val="Заголовок 2;Знак3"/>
    <w:basedOn w:val="716"/>
    <w:next w:val="716"/>
    <w:link w:val="972"/>
    <w:uiPriority w:val="99"/>
    <w:qFormat/>
    <w:pPr>
      <w:keepNext/>
      <w:outlineLvl w:val="1"/>
    </w:pPr>
    <w:rPr>
      <w:rFonts w:eastAsia="Times New Roman"/>
      <w:sz w:val="28"/>
      <w:szCs w:val="20"/>
      <w:lang w:val="en-US" w:eastAsia="en-US"/>
    </w:rPr>
  </w:style>
  <w:style w:type="paragraph" w:styleId="952">
    <w:name w:val="Body Text"/>
    <w:basedOn w:val="716"/>
    <w:link w:val="989"/>
    <w:uiPriority w:val="99"/>
    <w:pPr>
      <w:jc w:val="both"/>
    </w:pPr>
    <w:rPr>
      <w:rFonts w:eastAsia="Times New Roman"/>
      <w:sz w:val="28"/>
      <w:szCs w:val="20"/>
      <w:lang w:val="en-US" w:eastAsia="en-US"/>
    </w:rPr>
  </w:style>
  <w:style w:type="paragraph" w:styleId="953">
    <w:name w:val="Body Text Indent"/>
    <w:basedOn w:val="716"/>
    <w:link w:val="990"/>
    <w:uiPriority w:val="99"/>
    <w:pPr>
      <w:ind w:firstLine="567"/>
    </w:pPr>
    <w:rPr>
      <w:rFonts w:eastAsia="Times New Roman"/>
      <w:sz w:val="28"/>
      <w:szCs w:val="20"/>
      <w:lang w:val="en-US" w:eastAsia="en-US"/>
    </w:rPr>
  </w:style>
  <w:style w:type="paragraph" w:styleId="954">
    <w:name w:val="Body Text Indent 2"/>
    <w:basedOn w:val="716"/>
    <w:link w:val="994"/>
    <w:uiPriority w:val="99"/>
    <w:pPr>
      <w:ind w:firstLine="851"/>
      <w:jc w:val="both"/>
    </w:pPr>
    <w:rPr>
      <w:rFonts w:eastAsia="Times New Roman"/>
      <w:sz w:val="28"/>
      <w:szCs w:val="20"/>
      <w:lang w:val="en-US" w:eastAsia="en-US"/>
    </w:rPr>
  </w:style>
  <w:style w:type="paragraph" w:styleId="955">
    <w:name w:val="Body Text Indent 3"/>
    <w:basedOn w:val="716"/>
    <w:link w:val="995"/>
    <w:uiPriority w:val="99"/>
    <w:pPr>
      <w:ind w:firstLine="851"/>
    </w:pPr>
    <w:rPr>
      <w:rFonts w:eastAsia="Times New Roman"/>
      <w:sz w:val="28"/>
      <w:szCs w:val="20"/>
      <w:lang w:val="en-US" w:eastAsia="en-US"/>
    </w:rPr>
  </w:style>
  <w:style w:type="paragraph" w:styleId="956" w:customStyle="1">
    <w:name w:val="Название объекта2"/>
    <w:basedOn w:val="716"/>
    <w:next w:val="716"/>
    <w:uiPriority w:val="99"/>
    <w:qFormat/>
    <w:pPr>
      <w:jc w:val="center"/>
    </w:pPr>
    <w:rPr>
      <w:b/>
      <w:sz w:val="32"/>
    </w:rPr>
  </w:style>
  <w:style w:type="paragraph" w:styleId="957">
    <w:name w:val="Block Text"/>
    <w:basedOn w:val="716"/>
    <w:uiPriority w:val="99"/>
    <w:pPr>
      <w:ind w:left="142" w:right="3967"/>
      <w:jc w:val="both"/>
      <w:tabs>
        <w:tab w:val="left" w:pos="0" w:leader="none"/>
        <w:tab w:val="left" w:pos="5245" w:leader="none"/>
      </w:tabs>
    </w:pPr>
    <w:rPr>
      <w:sz w:val="28"/>
    </w:rPr>
  </w:style>
  <w:style w:type="paragraph" w:styleId="958" w:customStyle="1">
    <w:name w:val="Верхний колонтитул2"/>
    <w:basedOn w:val="716"/>
    <w:link w:val="959"/>
    <w:uiPriority w:val="99"/>
    <w:pPr>
      <w:tabs>
        <w:tab w:val="center" w:pos="4677" w:leader="none"/>
        <w:tab w:val="right" w:pos="9355" w:leader="none"/>
      </w:tabs>
    </w:pPr>
  </w:style>
  <w:style w:type="character" w:styleId="959" w:customStyle="1">
    <w:name w:val="Верхний колонтитул Знак"/>
    <w:basedOn w:val="726"/>
    <w:link w:val="958"/>
    <w:uiPriority w:val="99"/>
  </w:style>
  <w:style w:type="paragraph" w:styleId="960" w:customStyle="1">
    <w:name w:val="Нижний колонтитул2"/>
    <w:basedOn w:val="716"/>
    <w:link w:val="961"/>
    <w:uiPriority w:val="99"/>
    <w:pPr>
      <w:tabs>
        <w:tab w:val="center" w:pos="4677" w:leader="none"/>
        <w:tab w:val="right" w:pos="9355" w:leader="none"/>
      </w:tabs>
    </w:pPr>
  </w:style>
  <w:style w:type="character" w:styleId="961" w:customStyle="1">
    <w:name w:val="Нижний колонтитул Знак"/>
    <w:basedOn w:val="726"/>
    <w:link w:val="960"/>
    <w:uiPriority w:val="99"/>
  </w:style>
  <w:style w:type="character" w:styleId="962" w:customStyle="1">
    <w:name w:val="Date_num"/>
    <w:uiPriority w:val="99"/>
  </w:style>
  <w:style w:type="character" w:styleId="963" w:customStyle="1">
    <w:name w:val="Заголовок 7 Знак"/>
    <w:link w:val="776"/>
    <w:uiPriority w:val="99"/>
    <w:rPr>
      <w:rFonts w:ascii="Cambria" w:hAnsi="Cambria" w:eastAsia="Times New Roman" w:cs="Times New Roman"/>
      <w:i/>
      <w:iCs/>
      <w:color w:val="243f60"/>
    </w:rPr>
  </w:style>
  <w:style w:type="character" w:styleId="964" w:customStyle="1">
    <w:name w:val="Заголовок 8 Знак"/>
    <w:link w:val="777"/>
    <w:uiPriority w:val="99"/>
    <w:rPr>
      <w:rFonts w:ascii="Cambria" w:hAnsi="Cambria" w:eastAsia="Times New Roman" w:cs="Times New Roman"/>
      <w:color w:val="272727"/>
      <w:sz w:val="21"/>
      <w:szCs w:val="21"/>
    </w:rPr>
  </w:style>
  <w:style w:type="character" w:styleId="965" w:customStyle="1">
    <w:name w:val="Заголовок 9 Знак"/>
    <w:link w:val="778"/>
    <w:uiPriority w:val="99"/>
    <w:rPr>
      <w:rFonts w:ascii="Cambria" w:hAnsi="Cambria" w:eastAsia="Times New Roman" w:cs="Times New Roman"/>
      <w:i/>
      <w:iCs/>
      <w:color w:val="272727"/>
      <w:sz w:val="21"/>
      <w:szCs w:val="21"/>
    </w:rPr>
  </w:style>
  <w:style w:type="character" w:styleId="966">
    <w:name w:val="Placeholder Text"/>
    <w:uiPriority w:val="99"/>
    <w:semiHidden/>
    <w:rPr>
      <w:color w:val="808080"/>
    </w:rPr>
  </w:style>
  <w:style w:type="paragraph" w:styleId="967" w:customStyle="1">
    <w:name w:val="HeadDoc"/>
    <w:link w:val="968"/>
    <w:uiPriority w:val="99"/>
    <w:qFormat/>
    <w:pPr>
      <w:jc w:val="both"/>
      <w:keepLines/>
    </w:pPr>
    <w:rPr>
      <w:sz w:val="28"/>
      <w:lang w:eastAsia="ru-RU"/>
    </w:rPr>
  </w:style>
  <w:style w:type="character" w:styleId="968" w:customStyle="1">
    <w:name w:val="HeadDoc Знак"/>
    <w:link w:val="967"/>
    <w:uiPriority w:val="99"/>
    <w:rPr>
      <w:sz w:val="28"/>
      <w:lang w:val="ru-RU" w:eastAsia="ru-RU" w:bidi="ar-SA"/>
    </w:rPr>
  </w:style>
  <w:style w:type="paragraph" w:styleId="969">
    <w:name w:val="Balloon Text"/>
    <w:basedOn w:val="716"/>
    <w:link w:val="970"/>
    <w:uiPriority w:val="99"/>
    <w:rPr>
      <w:rFonts w:ascii="Segoe UI" w:hAnsi="Segoe UI" w:eastAsia="Times New Roman"/>
      <w:sz w:val="18"/>
      <w:szCs w:val="18"/>
      <w:lang w:val="en-US" w:eastAsia="en-US"/>
    </w:rPr>
  </w:style>
  <w:style w:type="character" w:styleId="970" w:customStyle="1">
    <w:name w:val="Текст выноски Знак"/>
    <w:link w:val="969"/>
    <w:uiPriority w:val="99"/>
    <w:rPr>
      <w:rFonts w:ascii="Segoe UI" w:hAnsi="Segoe UI" w:cs="Segoe UI"/>
      <w:sz w:val="18"/>
      <w:szCs w:val="18"/>
    </w:rPr>
  </w:style>
  <w:style w:type="character" w:styleId="971" w:customStyle="1">
    <w:name w:val="Заголовок 1 Знак"/>
    <w:link w:val="770"/>
    <w:rPr>
      <w:sz w:val="28"/>
    </w:rPr>
  </w:style>
  <w:style w:type="character" w:styleId="972" w:customStyle="1">
    <w:name w:val="Заголовок 2 Знак;Знак3 Знак"/>
    <w:link w:val="951"/>
    <w:uiPriority w:val="99"/>
    <w:rPr>
      <w:sz w:val="28"/>
    </w:rPr>
  </w:style>
  <w:style w:type="character" w:styleId="973" w:customStyle="1">
    <w:name w:val="Заголовок 3 Знак"/>
    <w:link w:val="772"/>
    <w:uiPriority w:val="99"/>
    <w:rPr>
      <w:sz w:val="28"/>
    </w:rPr>
  </w:style>
  <w:style w:type="character" w:styleId="974" w:customStyle="1">
    <w:name w:val="Заголовок 4 Знак"/>
    <w:link w:val="773"/>
    <w:uiPriority w:val="99"/>
    <w:rPr>
      <w:sz w:val="28"/>
    </w:rPr>
  </w:style>
  <w:style w:type="character" w:styleId="975" w:customStyle="1">
    <w:name w:val="Заголовок 5 Знак"/>
    <w:link w:val="774"/>
    <w:uiPriority w:val="99"/>
    <w:rPr>
      <w:sz w:val="24"/>
    </w:rPr>
  </w:style>
  <w:style w:type="character" w:styleId="976" w:customStyle="1">
    <w:name w:val="Заголовок 6 Знак"/>
    <w:link w:val="775"/>
    <w:uiPriority w:val="99"/>
    <w:rPr>
      <w:b/>
      <w:sz w:val="44"/>
    </w:rPr>
  </w:style>
  <w:style w:type="character" w:styleId="977">
    <w:name w:val="FollowedHyperlink"/>
    <w:uiPriority w:val="99"/>
    <w:unhideWhenUsed/>
    <w:rPr>
      <w:rFonts w:ascii="Times New Roman" w:hAnsi="Times New Roman" w:cs="Times New Roman"/>
      <w:color w:val="800080"/>
      <w:u w:val="single"/>
    </w:rPr>
  </w:style>
  <w:style w:type="character" w:styleId="978">
    <w:name w:val="Emphasis"/>
    <w:uiPriority w:val="20"/>
    <w:qFormat/>
    <w:rPr>
      <w:rFonts w:ascii="Times New Roman" w:hAnsi="Times New Roman" w:cs="Times New Roman"/>
      <w:i/>
    </w:rPr>
  </w:style>
  <w:style w:type="character" w:styleId="979" w:customStyle="1">
    <w:name w:val="Заголовок 2 Знак1;Знак3 Знак1"/>
    <w:uiPriority w:val="99"/>
    <w:semiHidden/>
    <w:rPr>
      <w:rFonts w:ascii="Cambria" w:hAnsi="Cambria" w:eastAsia="Times New Roman" w:cs="Times New Roman"/>
      <w:color w:val="365f91"/>
      <w:sz w:val="26"/>
      <w:szCs w:val="26"/>
    </w:rPr>
  </w:style>
  <w:style w:type="paragraph" w:styleId="980">
    <w:name w:val="HTML Preformatted"/>
    <w:basedOn w:val="716"/>
    <w:link w:val="981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/>
      <w:sz w:val="20"/>
      <w:szCs w:val="20"/>
      <w:lang w:val="en-US" w:eastAsia="en-US"/>
    </w:rPr>
  </w:style>
  <w:style w:type="character" w:styleId="981" w:customStyle="1">
    <w:name w:val="Стандартный HTML Знак"/>
    <w:link w:val="980"/>
    <w:uiPriority w:val="99"/>
    <w:rPr>
      <w:rFonts w:ascii="Courier New" w:hAnsi="Courier New"/>
    </w:rPr>
  </w:style>
  <w:style w:type="character" w:styleId="982">
    <w:name w:val="Strong"/>
    <w:uiPriority w:val="22"/>
    <w:qFormat/>
    <w:rPr>
      <w:rFonts w:ascii="Times New Roman" w:hAnsi="Times New Roman" w:cs="Times New Roman"/>
      <w:b/>
    </w:rPr>
  </w:style>
  <w:style w:type="character" w:styleId="983" w:customStyle="1">
    <w:name w:val="Обычный (веб) Знак1;Обычный (Web)1 Знак;Обычный (Web) Знак1;Обычный (веб)211 Знак;Обычный (веб)11 Знак;Обычный (веб) Знак Знак;Обычный (Web) Знак Знак;Обычный (веб)4 Знак;Обычный (Web)11 Знак;Обычный (веб)21 Знак;Обычный (веб)3 Знак;Знак Знак Знак"/>
    <w:link w:val="984"/>
    <w:rPr>
      <w:sz w:val="24"/>
    </w:rPr>
  </w:style>
  <w:style w:type="paragraph" w:styleId="984" w:customStyle="1">
    <w:name w:val="Обычный (веб);Обычный (Web)1;Обычный (Web);Обычный (веб)211;Обычный (веб)11;Обычный (веб) Знак;Обычный (Web) Знак;Обычный (веб)4;Обычный (Web)11;Обычный (веб)21;Обычный (веб)3;Обычный (Web) Знак Знак Знак Знак;Знак Знак"/>
    <w:basedOn w:val="716"/>
    <w:link w:val="983"/>
    <w:unhideWhenUsed/>
    <w:qFormat/>
    <w:pPr>
      <w:contextualSpacing/>
      <w:ind w:left="720"/>
      <w:spacing w:after="200" w:line="276" w:lineRule="auto"/>
    </w:pPr>
    <w:rPr>
      <w:rFonts w:eastAsia="Times New Roman"/>
      <w:szCs w:val="20"/>
      <w:lang w:val="en-US" w:eastAsia="en-US"/>
    </w:rPr>
  </w:style>
  <w:style w:type="character" w:styleId="985" w:customStyle="1">
    <w:name w:val="Текст сноски Знак;Table_Footnote_last Знак1;Текст сноски Знак Знак Char Знак1;Texto de nota al pie Char Знак1;Texto de nota al pie Знак1;Текст сноски Знак Знак Char Char Знак1;Schriftart: 9 pt Знак1;Schriftart: 10 pt Знак1;Schriftart: 8 pt Знак1;fn Знак"/>
    <w:link w:val="986"/>
    <w:uiPriority w:val="99"/>
    <w:rPr>
      <w:rFonts w:ascii="Arial" w:hAnsi="Arial" w:cs="Arial"/>
      <w:spacing w:val="-5"/>
      <w:lang w:eastAsia="en-US"/>
    </w:rPr>
  </w:style>
  <w:style w:type="paragraph" w:styleId="986" w:customStyle="1">
    <w:name w:val="Текст сноски;Table_Footnote_last;Текст сноски Знак Знак Char;Texto de nota al pie Char;Texto de nota al pie;Текст сноски Знак Знак Char Char;Schriftart: 9 pt;Schriftart: 10 pt;Schriftart: 8 pt;single space;Текст сноски Знак1 Знак;fn;ft;Текст сноски-FN"/>
    <w:basedOn w:val="716"/>
    <w:link w:val="985"/>
    <w:uiPriority w:val="99"/>
    <w:unhideWhenUsed/>
    <w:qFormat/>
    <w:pPr>
      <w:ind w:left="835" w:right="835"/>
    </w:pPr>
    <w:rPr>
      <w:rFonts w:ascii="Arial" w:hAnsi="Arial" w:eastAsia="Times New Roman"/>
      <w:spacing w:val="-5"/>
      <w:sz w:val="20"/>
      <w:szCs w:val="20"/>
      <w:lang w:val="en-US" w:eastAsia="en-US"/>
    </w:rPr>
  </w:style>
  <w:style w:type="character" w:styleId="987" w:customStyle="1">
    <w:name w:val="Текст сноски Знак1;Table_Footnote_last Знак;Текст сноски Знак Знак Char Знак;Texto de nota al pie Char Знак;Texto de nota al pie Знак;Текст сноски Знак Знак Char Char Знак;Schriftart: 9 pt Знак;Schriftart: 10 pt Знак;Schriftart: 8 pt Знак;fn Знак1"/>
    <w:basedOn w:val="726"/>
    <w:uiPriority w:val="99"/>
  </w:style>
  <w:style w:type="character" w:styleId="988" w:customStyle="1">
    <w:name w:val="Заголовок Знак"/>
    <w:link w:val="796"/>
    <w:rPr>
      <w:sz w:val="28"/>
    </w:rPr>
  </w:style>
  <w:style w:type="character" w:styleId="989" w:customStyle="1">
    <w:name w:val="Основной текст Знак"/>
    <w:link w:val="952"/>
    <w:uiPriority w:val="99"/>
    <w:rPr>
      <w:sz w:val="28"/>
    </w:rPr>
  </w:style>
  <w:style w:type="character" w:styleId="990" w:customStyle="1">
    <w:name w:val="Основной текст с отступом Знак"/>
    <w:link w:val="953"/>
    <w:uiPriority w:val="99"/>
    <w:rPr>
      <w:sz w:val="28"/>
    </w:rPr>
  </w:style>
  <w:style w:type="character" w:styleId="991" w:customStyle="1">
    <w:name w:val="Подзаголовок Знак"/>
    <w:link w:val="797"/>
    <w:rPr>
      <w:rFonts w:ascii="Cambria" w:hAnsi="Cambria"/>
      <w:i/>
      <w:iCs/>
      <w:color w:val="4f81bd"/>
      <w:spacing w:val="15"/>
      <w:sz w:val="24"/>
      <w:szCs w:val="24"/>
    </w:rPr>
  </w:style>
  <w:style w:type="character" w:styleId="992" w:customStyle="1">
    <w:name w:val="Основной текст 2 Знак"/>
    <w:basedOn w:val="726"/>
    <w:link w:val="1187"/>
    <w:uiPriority w:val="99"/>
  </w:style>
  <w:style w:type="character" w:styleId="993" w:customStyle="1">
    <w:name w:val="Основной текст 3 Знак"/>
    <w:link w:val="1196"/>
    <w:uiPriority w:val="99"/>
    <w:rPr>
      <w:sz w:val="16"/>
    </w:rPr>
  </w:style>
  <w:style w:type="character" w:styleId="994" w:customStyle="1">
    <w:name w:val="Основной текст с отступом 2 Знак"/>
    <w:link w:val="954"/>
    <w:uiPriority w:val="99"/>
    <w:rPr>
      <w:sz w:val="28"/>
    </w:rPr>
  </w:style>
  <w:style w:type="character" w:styleId="995" w:customStyle="1">
    <w:name w:val="Основной текст с отступом 3 Знак"/>
    <w:link w:val="955"/>
    <w:uiPriority w:val="99"/>
    <w:rPr>
      <w:sz w:val="28"/>
      <w:lang w:val="en-US"/>
    </w:rPr>
  </w:style>
  <w:style w:type="character" w:styleId="996" w:customStyle="1">
    <w:name w:val="Текст Знак"/>
    <w:link w:val="1190"/>
    <w:rPr>
      <w:rFonts w:ascii="Courier New" w:hAnsi="Courier New" w:cs="Courier New"/>
      <w:b/>
    </w:rPr>
  </w:style>
  <w:style w:type="character" w:styleId="997" w:customStyle="1">
    <w:name w:val="Абзац списка Знак"/>
    <w:link w:val="794"/>
    <w:uiPriority w:val="34"/>
    <w:rPr>
      <w:rFonts w:ascii="Calibri" w:hAnsi="Calibri"/>
      <w:sz w:val="22"/>
      <w:szCs w:val="22"/>
      <w:lang w:eastAsia="en-US"/>
    </w:rPr>
  </w:style>
  <w:style w:type="paragraph" w:styleId="998" w:customStyle="1">
    <w:name w:val="Знак5 Знак Знак Знак Знак Знак"/>
    <w:basedOn w:val="716"/>
    <w:uiPriority w:val="99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styleId="999" w:customStyle="1">
    <w:name w:val="text20"/>
    <w:basedOn w:val="716"/>
    <w:uiPriority w:val="99"/>
    <w:qFormat/>
    <w:pPr>
      <w:spacing w:after="216" w:line="312" w:lineRule="auto"/>
    </w:pPr>
    <w:rPr>
      <w:rFonts w:ascii="Arial" w:hAnsi="Arial" w:cs="Arial"/>
      <w:sz w:val="18"/>
      <w:szCs w:val="18"/>
    </w:rPr>
  </w:style>
  <w:style w:type="paragraph" w:styleId="1000" w:customStyle="1">
    <w:name w:val="pic1_src1"/>
    <w:basedOn w:val="716"/>
    <w:uiPriority w:val="99"/>
    <w:qFormat/>
    <w:rPr>
      <w:rFonts w:ascii="Arial" w:hAnsi="Arial" w:cs="Arial"/>
      <w:color w:val="828282"/>
      <w:sz w:val="14"/>
      <w:szCs w:val="14"/>
    </w:rPr>
  </w:style>
  <w:style w:type="paragraph" w:styleId="1001" w:customStyle="1">
    <w:name w:val="1body"/>
    <w:basedOn w:val="716"/>
    <w:uiPriority w:val="99"/>
    <w:qFormat/>
    <w:pPr>
      <w:ind w:firstLine="227"/>
      <w:jc w:val="both"/>
    </w:pPr>
  </w:style>
  <w:style w:type="paragraph" w:styleId="1002" w:customStyle="1">
    <w:name w:val="Таблицы (моноширинный)"/>
    <w:basedOn w:val="716"/>
    <w:next w:val="716"/>
    <w:uiPriority w:val="99"/>
    <w:qFormat/>
    <w:pPr>
      <w:jc w:val="both"/>
    </w:pPr>
    <w:rPr>
      <w:rFonts w:ascii="Courier New" w:hAnsi="Courier New" w:cs="Courier New"/>
    </w:rPr>
  </w:style>
  <w:style w:type="paragraph" w:styleId="1003" w:customStyle="1">
    <w:name w:val="ConsPlusTitle"/>
    <w:qFormat/>
    <w:rPr>
      <w:b/>
      <w:bCs/>
      <w:sz w:val="24"/>
      <w:szCs w:val="24"/>
      <w:lang w:eastAsia="ru-RU"/>
    </w:rPr>
  </w:style>
  <w:style w:type="paragraph" w:styleId="1004" w:customStyle="1">
    <w:name w:val="interview1"/>
    <w:basedOn w:val="716"/>
    <w:uiPriority w:val="99"/>
    <w:qFormat/>
    <w:pPr>
      <w:spacing w:after="144" w:line="312" w:lineRule="auto"/>
    </w:pPr>
    <w:rPr>
      <w:rFonts w:ascii="Arial" w:hAnsi="Arial" w:cs="Arial"/>
      <w:b/>
      <w:bCs/>
      <w:i/>
      <w:iCs/>
      <w:color w:val="333333"/>
      <w:sz w:val="18"/>
      <w:szCs w:val="18"/>
    </w:rPr>
  </w:style>
  <w:style w:type="paragraph" w:styleId="1005" w:customStyle="1">
    <w:name w:val="Заголовок 213"/>
    <w:basedOn w:val="716"/>
    <w:uiPriority w:val="99"/>
    <w:qFormat/>
    <w:pPr>
      <w:spacing w:after="216"/>
      <w:outlineLvl w:val="2"/>
    </w:pPr>
    <w:rPr>
      <w:rFonts w:ascii="Arial" w:hAnsi="Arial" w:cs="Arial"/>
      <w:color w:val="808080"/>
      <w:sz w:val="23"/>
      <w:szCs w:val="23"/>
    </w:rPr>
  </w:style>
  <w:style w:type="paragraph" w:styleId="1006" w:customStyle="1">
    <w:name w:val="Заголовок 34"/>
    <w:basedOn w:val="716"/>
    <w:uiPriority w:val="99"/>
    <w:qFormat/>
    <w:pPr>
      <w:spacing w:before="432" w:after="72"/>
      <w:outlineLvl w:val="3"/>
    </w:pPr>
    <w:rPr>
      <w:rFonts w:ascii="Arial" w:hAnsi="Arial" w:cs="Arial"/>
      <w:b/>
      <w:bCs/>
    </w:rPr>
  </w:style>
  <w:style w:type="paragraph" w:styleId="1007" w:customStyle="1">
    <w:name w:val="Обычный (веб)1"/>
    <w:basedOn w:val="716"/>
    <w:uiPriority w:val="99"/>
    <w:qFormat/>
    <w:pPr>
      <w:jc w:val="both"/>
      <w:spacing w:before="100" w:beforeAutospacing="1" w:after="100" w:afterAutospacing="1"/>
    </w:pPr>
    <w:rPr>
      <w:rFonts w:ascii="Arial" w:hAnsi="Arial" w:cs="Arial"/>
      <w:color w:val="333333"/>
      <w:sz w:val="18"/>
      <w:szCs w:val="18"/>
    </w:rPr>
  </w:style>
  <w:style w:type="paragraph" w:styleId="1008" w:customStyle="1">
    <w:name w:val="Термин"/>
    <w:basedOn w:val="716"/>
    <w:next w:val="1009"/>
    <w:uiPriority w:val="99"/>
    <w:qFormat/>
  </w:style>
  <w:style w:type="paragraph" w:styleId="1009" w:customStyle="1">
    <w:name w:val="Список определений"/>
    <w:basedOn w:val="716"/>
    <w:next w:val="1008"/>
    <w:uiPriority w:val="99"/>
    <w:qFormat/>
    <w:pPr>
      <w:ind w:left="360"/>
    </w:pPr>
  </w:style>
  <w:style w:type="paragraph" w:styleId="1010" w:customStyle="1">
    <w:name w:val="Стиль"/>
    <w:uiPriority w:val="99"/>
    <w:qFormat/>
    <w:pPr>
      <w:ind w:firstLine="720"/>
      <w:jc w:val="both"/>
    </w:pPr>
    <w:rPr>
      <w:rFonts w:ascii="Arial" w:hAnsi="Arial"/>
      <w:lang w:eastAsia="ru-RU"/>
    </w:rPr>
  </w:style>
  <w:style w:type="paragraph" w:styleId="1011" w:customStyle="1">
    <w:name w:val="Комментарий"/>
    <w:basedOn w:val="716"/>
    <w:next w:val="716"/>
    <w:uiPriority w:val="99"/>
    <w:qFormat/>
    <w:pPr>
      <w:ind w:left="170"/>
      <w:jc w:val="both"/>
    </w:pPr>
    <w:rPr>
      <w:rFonts w:ascii="Arial" w:hAnsi="Arial"/>
      <w:i/>
      <w:iCs/>
      <w:color w:val="800080"/>
    </w:rPr>
  </w:style>
  <w:style w:type="paragraph" w:styleId="1012" w:customStyle="1">
    <w:name w:val="ConsNormal"/>
    <w:uiPriority w:val="99"/>
    <w:qFormat/>
    <w:pPr>
      <w:ind w:right="19772" w:firstLine="720"/>
      <w:widowControl w:val="off"/>
    </w:pPr>
    <w:rPr>
      <w:rFonts w:ascii="Arial" w:hAnsi="Arial" w:cs="Arial"/>
      <w:lang w:eastAsia="ru-RU"/>
    </w:rPr>
  </w:style>
  <w:style w:type="paragraph" w:styleId="1013" w:customStyle="1">
    <w:name w:val="заголовок 1"/>
    <w:basedOn w:val="716"/>
    <w:next w:val="716"/>
    <w:uiPriority w:val="99"/>
    <w:qFormat/>
    <w:pPr>
      <w:jc w:val="center"/>
      <w:keepNext/>
    </w:pPr>
    <w:rPr>
      <w:b/>
      <w:sz w:val="32"/>
    </w:rPr>
  </w:style>
  <w:style w:type="paragraph" w:styleId="1014" w:customStyle="1">
    <w:name w:val="заголовок 4"/>
    <w:basedOn w:val="716"/>
    <w:next w:val="716"/>
    <w:uiPriority w:val="99"/>
    <w:qFormat/>
    <w:pPr>
      <w:jc w:val="center"/>
      <w:keepNext/>
      <w:outlineLvl w:val="3"/>
    </w:pPr>
    <w:rPr>
      <w:b/>
      <w:sz w:val="40"/>
    </w:rPr>
  </w:style>
  <w:style w:type="paragraph" w:styleId="1015" w:customStyle="1">
    <w:name w:val="Заголовок1"/>
    <w:basedOn w:val="716"/>
    <w:next w:val="951"/>
    <w:uiPriority w:val="99"/>
    <w:qFormat/>
    <w:pPr>
      <w:jc w:val="center"/>
      <w:spacing w:after="200"/>
      <w:widowControl w:val="off"/>
    </w:pPr>
    <w:rPr>
      <w:b/>
      <w:bCs/>
      <w:sz w:val="32"/>
      <w:szCs w:val="32"/>
    </w:rPr>
  </w:style>
  <w:style w:type="paragraph" w:styleId="1016" w:customStyle="1">
    <w:name w:val="Заголовок2"/>
    <w:basedOn w:val="716"/>
    <w:next w:val="716"/>
    <w:uiPriority w:val="99"/>
    <w:qFormat/>
    <w:pPr>
      <w:jc w:val="center"/>
      <w:spacing w:after="200"/>
      <w:widowControl w:val="off"/>
    </w:pPr>
    <w:rPr>
      <w:b/>
      <w:bCs/>
      <w:spacing w:val="60"/>
      <w:sz w:val="36"/>
      <w:szCs w:val="36"/>
    </w:rPr>
  </w:style>
  <w:style w:type="paragraph" w:styleId="1017" w:customStyle="1">
    <w:name w:val="письмо"/>
    <w:basedOn w:val="716"/>
    <w:uiPriority w:val="99"/>
    <w:qFormat/>
    <w:pPr>
      <w:ind w:firstLine="709"/>
      <w:jc w:val="both"/>
    </w:pPr>
    <w:rPr>
      <w:sz w:val="28"/>
    </w:rPr>
  </w:style>
  <w:style w:type="paragraph" w:styleId="1018" w:customStyle="1">
    <w:name w:val="Основной текст с отступом 21"/>
    <w:basedOn w:val="716"/>
    <w:uiPriority w:val="99"/>
    <w:qFormat/>
    <w:pPr>
      <w:ind w:firstLine="709"/>
      <w:jc w:val="both"/>
    </w:pPr>
    <w:rPr>
      <w:sz w:val="28"/>
    </w:rPr>
  </w:style>
  <w:style w:type="paragraph" w:styleId="1019" w:customStyle="1">
    <w:name w:val="Нормальный"/>
    <w:basedOn w:val="716"/>
    <w:qFormat/>
    <w:pPr>
      <w:jc w:val="both"/>
    </w:pPr>
    <w:rPr>
      <w:sz w:val="28"/>
    </w:rPr>
  </w:style>
  <w:style w:type="paragraph" w:styleId="1020" w:customStyle="1">
    <w:name w:val="Основной текст с отступом 31"/>
    <w:basedOn w:val="716"/>
    <w:qFormat/>
    <w:pPr>
      <w:ind w:right="400" w:firstLine="851"/>
      <w:jc w:val="both"/>
      <w:spacing w:line="259" w:lineRule="auto"/>
      <w:widowControl w:val="off"/>
    </w:pPr>
    <w:rPr>
      <w:sz w:val="22"/>
    </w:rPr>
  </w:style>
  <w:style w:type="paragraph" w:styleId="1021" w:customStyle="1">
    <w:name w:val="FR3"/>
    <w:uiPriority w:val="99"/>
    <w:qFormat/>
    <w:pPr>
      <w:ind w:firstLine="840"/>
      <w:spacing w:line="338" w:lineRule="auto"/>
      <w:widowControl w:val="off"/>
    </w:pPr>
    <w:rPr>
      <w:rFonts w:ascii="Arial" w:hAnsi="Arial"/>
      <w:sz w:val="22"/>
      <w:lang w:eastAsia="ru-RU"/>
    </w:rPr>
  </w:style>
  <w:style w:type="paragraph" w:styleId="1022" w:customStyle="1">
    <w:name w:val="Заголовок 62"/>
    <w:basedOn w:val="716"/>
    <w:uiPriority w:val="99"/>
    <w:qFormat/>
    <w:pPr>
      <w:jc w:val="center"/>
      <w:shd w:val="clear" w:color="auto" w:fill="eeeeee"/>
      <w:outlineLvl w:val="6"/>
    </w:pPr>
    <w:rPr>
      <w:b/>
      <w:bCs/>
    </w:rPr>
  </w:style>
  <w:style w:type="paragraph" w:styleId="1023" w:customStyle="1">
    <w:name w:val="Стиль1"/>
    <w:basedOn w:val="716"/>
    <w:uiPriority w:val="99"/>
    <w:qFormat/>
    <w:pPr>
      <w:ind w:firstLine="709"/>
      <w:jc w:val="both"/>
    </w:pPr>
  </w:style>
  <w:style w:type="paragraph" w:styleId="1024" w:customStyle="1">
    <w:name w:val="Основной текст с отступом 22"/>
    <w:basedOn w:val="716"/>
    <w:uiPriority w:val="99"/>
    <w:qFormat/>
    <w:pPr>
      <w:ind w:firstLine="426"/>
      <w:jc w:val="both"/>
    </w:pPr>
    <w:rPr>
      <w:sz w:val="28"/>
      <w:lang w:eastAsia="ar-SA"/>
    </w:rPr>
  </w:style>
  <w:style w:type="paragraph" w:styleId="1025" w:customStyle="1">
    <w:name w:val="Обычный1"/>
    <w:uiPriority w:val="99"/>
    <w:qFormat/>
    <w:rPr>
      <w:sz w:val="24"/>
      <w:lang w:eastAsia="ar-SA"/>
    </w:rPr>
  </w:style>
  <w:style w:type="paragraph" w:styleId="1026" w:customStyle="1">
    <w:name w:val="Основной текст с отступом 212"/>
    <w:basedOn w:val="716"/>
    <w:uiPriority w:val="99"/>
    <w:qFormat/>
    <w:pPr>
      <w:ind w:firstLine="567"/>
      <w:jc w:val="both"/>
      <w:widowControl w:val="off"/>
    </w:pPr>
    <w:rPr>
      <w:sz w:val="28"/>
      <w:lang w:eastAsia="ar-SA"/>
    </w:rPr>
  </w:style>
  <w:style w:type="character" w:styleId="1027" w:customStyle="1">
    <w:name w:val="Татьяна Знак Знак"/>
    <w:link w:val="1028"/>
    <w:uiPriority w:val="99"/>
    <w:rPr>
      <w:sz w:val="24"/>
    </w:rPr>
  </w:style>
  <w:style w:type="paragraph" w:styleId="1028" w:customStyle="1">
    <w:name w:val="Татьяна Знак"/>
    <w:basedOn w:val="716"/>
    <w:link w:val="1027"/>
    <w:uiPriority w:val="99"/>
    <w:qFormat/>
    <w:pPr>
      <w:jc w:val="both"/>
      <w:spacing w:line="312" w:lineRule="auto"/>
    </w:pPr>
    <w:rPr>
      <w:rFonts w:eastAsia="Times New Roman"/>
      <w:szCs w:val="20"/>
      <w:lang w:val="en-US" w:eastAsia="en-US"/>
    </w:rPr>
  </w:style>
  <w:style w:type="paragraph" w:styleId="1029" w:customStyle="1">
    <w:name w:val="Татьяна"/>
    <w:basedOn w:val="716"/>
    <w:uiPriority w:val="99"/>
    <w:qFormat/>
    <w:pPr>
      <w:ind w:firstLine="709"/>
      <w:jc w:val="both"/>
      <w:spacing w:before="240" w:after="240" w:line="312" w:lineRule="auto"/>
    </w:pPr>
    <w:rPr>
      <w:bCs/>
    </w:rPr>
  </w:style>
  <w:style w:type="paragraph" w:styleId="1030" w:customStyle="1">
    <w:name w:val="название таблицы"/>
    <w:basedOn w:val="716"/>
    <w:next w:val="716"/>
    <w:uiPriority w:val="99"/>
    <w:qFormat/>
    <w:pPr>
      <w:jc w:val="center"/>
    </w:pPr>
    <w:rPr>
      <w:b/>
      <w:bCs/>
    </w:rPr>
  </w:style>
  <w:style w:type="paragraph" w:styleId="1031" w:customStyle="1">
    <w:name w:val="bodytext"/>
    <w:basedOn w:val="716"/>
    <w:uiPriority w:val="99"/>
    <w:qFormat/>
    <w:pPr>
      <w:ind w:right="150"/>
    </w:pPr>
    <w:rPr>
      <w:color w:val="949494"/>
    </w:rPr>
  </w:style>
  <w:style w:type="paragraph" w:styleId="1032" w:customStyle="1">
    <w:name w:val="text"/>
    <w:basedOn w:val="716"/>
    <w:uiPriority w:val="99"/>
    <w:qFormat/>
    <w:pPr>
      <w:jc w:val="both"/>
      <w:spacing w:after="200" w:line="280" w:lineRule="exact"/>
    </w:pPr>
    <w:rPr>
      <w:rFonts w:cs="Mangal"/>
      <w:lang w:val="en-GB" w:bidi="hi-IN"/>
    </w:rPr>
  </w:style>
  <w:style w:type="paragraph" w:styleId="1033" w:customStyle="1">
    <w:name w:val="FR1"/>
    <w:uiPriority w:val="99"/>
    <w:qFormat/>
    <w:pPr>
      <w:ind w:left="2120"/>
      <w:widowControl w:val="off"/>
    </w:pPr>
    <w:rPr>
      <w:b/>
      <w:bCs/>
      <w:sz w:val="32"/>
      <w:szCs w:val="32"/>
      <w:lang w:eastAsia="ru-RU"/>
    </w:rPr>
  </w:style>
  <w:style w:type="paragraph" w:styleId="1034" w:customStyle="1">
    <w:name w:val="FR2"/>
    <w:uiPriority w:val="99"/>
    <w:qFormat/>
    <w:pPr>
      <w:ind w:left="3240"/>
      <w:widowControl w:val="off"/>
    </w:pPr>
    <w:rPr>
      <w:rFonts w:ascii="Arial" w:hAnsi="Arial" w:cs="Arial"/>
      <w:sz w:val="12"/>
      <w:szCs w:val="12"/>
      <w:lang w:eastAsia="ru-RU"/>
    </w:rPr>
  </w:style>
  <w:style w:type="paragraph" w:styleId="1035" w:customStyle="1">
    <w:name w:val="txt"/>
    <w:basedOn w:val="716"/>
    <w:uiPriority w:val="99"/>
    <w:qFormat/>
    <w:pPr>
      <w:spacing w:before="100" w:beforeAutospacing="1" w:after="100" w:afterAutospacing="1" w:line="240" w:lineRule="atLeast"/>
    </w:pPr>
    <w:rPr>
      <w:rFonts w:ascii="Arial" w:hAnsi="Arial" w:cs="Arial"/>
      <w:sz w:val="21"/>
      <w:szCs w:val="21"/>
    </w:rPr>
  </w:style>
  <w:style w:type="paragraph" w:styleId="1036" w:customStyle="1">
    <w:name w:val="bodytext1"/>
    <w:basedOn w:val="716"/>
    <w:uiPriority w:val="99"/>
    <w:qFormat/>
    <w:pPr>
      <w:spacing w:after="143" w:line="285" w:lineRule="atLeast"/>
    </w:pPr>
  </w:style>
  <w:style w:type="paragraph" w:styleId="1037" w:customStyle="1">
    <w:name w:val="FR4"/>
    <w:uiPriority w:val="99"/>
    <w:qFormat/>
    <w:pPr>
      <w:widowControl w:val="off"/>
    </w:pPr>
    <w:rPr>
      <w:sz w:val="16"/>
      <w:lang w:eastAsia="ru-RU"/>
    </w:rPr>
  </w:style>
  <w:style w:type="paragraph" w:styleId="1038" w:customStyle="1">
    <w:name w:val="Знак1 Знак Знак"/>
    <w:basedOn w:val="716"/>
    <w:uiPriority w:val="99"/>
    <w:qFormat/>
    <w:rPr>
      <w:rFonts w:ascii="Verdana" w:hAnsi="Verdana" w:cs="Verdana"/>
      <w:lang w:val="en-US" w:eastAsia="en-US"/>
    </w:rPr>
  </w:style>
  <w:style w:type="paragraph" w:styleId="1039" w:customStyle="1">
    <w:name w:val="Знак2 Знак Знак1 Знак1 Знак Знак Знак Знак Знак Знак Знак Знак Знак Знак Знак Знак Знак Знак"/>
    <w:basedOn w:val="716"/>
    <w:uiPriority w:val="99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styleId="1040" w:customStyle="1">
    <w:name w:val="1KG=K9"/>
    <w:uiPriority w:val="99"/>
    <w:qFormat/>
    <w:rPr>
      <w:rFonts w:ascii="MS Sans Serif" w:hAnsi="MS Sans Serif"/>
      <w:szCs w:val="24"/>
      <w:lang w:eastAsia="ru-RU"/>
    </w:rPr>
  </w:style>
  <w:style w:type="paragraph" w:styleId="1041" w:customStyle="1">
    <w:name w:val="Body Text Indent 22"/>
    <w:basedOn w:val="716"/>
    <w:uiPriority w:val="99"/>
    <w:qFormat/>
    <w:pPr>
      <w:ind w:firstLine="567"/>
      <w:jc w:val="both"/>
      <w:widowControl w:val="off"/>
    </w:pPr>
  </w:style>
  <w:style w:type="paragraph" w:styleId="1042" w:customStyle="1">
    <w:name w:val="Знак Знак2"/>
    <w:basedOn w:val="716"/>
    <w:uiPriority w:val="99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styleId="1043" w:customStyle="1">
    <w:name w:val="Содержимое таблицы"/>
    <w:basedOn w:val="716"/>
    <w:uiPriority w:val="99"/>
    <w:qFormat/>
    <w:pPr>
      <w:widowControl w:val="off"/>
      <w:suppressLineNumbers/>
    </w:pPr>
  </w:style>
  <w:style w:type="paragraph" w:styleId="1044" w:customStyle="1">
    <w:name w:val="Style1"/>
    <w:basedOn w:val="716"/>
    <w:uiPriority w:val="99"/>
    <w:qFormat/>
    <w:pPr>
      <w:ind w:firstLine="696"/>
      <w:jc w:val="both"/>
      <w:spacing w:line="322" w:lineRule="exact"/>
      <w:widowControl w:val="off"/>
    </w:pPr>
  </w:style>
  <w:style w:type="paragraph" w:styleId="1045" w:customStyle="1">
    <w:name w:val="Style2"/>
    <w:basedOn w:val="716"/>
    <w:uiPriority w:val="99"/>
    <w:qFormat/>
    <w:pPr>
      <w:jc w:val="both"/>
      <w:spacing w:line="322" w:lineRule="exact"/>
      <w:widowControl w:val="off"/>
    </w:pPr>
  </w:style>
  <w:style w:type="paragraph" w:styleId="1046" w:customStyle="1">
    <w:name w:val="Style3"/>
    <w:basedOn w:val="716"/>
    <w:uiPriority w:val="99"/>
    <w:qFormat/>
    <w:pPr>
      <w:ind w:firstLine="1474"/>
      <w:jc w:val="both"/>
      <w:spacing w:line="322" w:lineRule="exact"/>
      <w:widowControl w:val="off"/>
    </w:pPr>
  </w:style>
  <w:style w:type="paragraph" w:styleId="1047" w:customStyle="1">
    <w:name w:val="Style5"/>
    <w:basedOn w:val="716"/>
    <w:uiPriority w:val="99"/>
    <w:qFormat/>
    <w:pPr>
      <w:widowControl w:val="off"/>
    </w:pPr>
  </w:style>
  <w:style w:type="paragraph" w:styleId="1048" w:customStyle="1">
    <w:name w:val="Style6"/>
    <w:basedOn w:val="716"/>
    <w:uiPriority w:val="99"/>
    <w:qFormat/>
    <w:pPr>
      <w:jc w:val="right"/>
      <w:spacing w:line="322" w:lineRule="exact"/>
      <w:widowControl w:val="off"/>
    </w:pPr>
  </w:style>
  <w:style w:type="paragraph" w:styleId="1049" w:customStyle="1">
    <w:name w:val="Style7"/>
    <w:basedOn w:val="716"/>
    <w:uiPriority w:val="99"/>
    <w:qFormat/>
    <w:pPr>
      <w:widowControl w:val="off"/>
    </w:pPr>
  </w:style>
  <w:style w:type="paragraph" w:styleId="1050" w:customStyle="1">
    <w:name w:val="Style4"/>
    <w:basedOn w:val="716"/>
    <w:uiPriority w:val="99"/>
    <w:qFormat/>
    <w:pPr>
      <w:ind w:firstLine="701"/>
      <w:spacing w:line="322" w:lineRule="exact"/>
      <w:widowControl w:val="off"/>
    </w:pPr>
  </w:style>
  <w:style w:type="paragraph" w:styleId="1051" w:customStyle="1">
    <w:name w:val="Основной текст с отступом 33"/>
    <w:basedOn w:val="716"/>
    <w:uiPriority w:val="99"/>
    <w:qFormat/>
    <w:pPr>
      <w:ind w:firstLine="851"/>
      <w:jc w:val="both"/>
      <w:spacing w:line="360" w:lineRule="auto"/>
    </w:pPr>
    <w:rPr>
      <w:lang w:eastAsia="ar-SA"/>
    </w:rPr>
  </w:style>
  <w:style w:type="paragraph" w:styleId="1052" w:customStyle="1">
    <w:name w:val="загола'eeвок 1"/>
    <w:basedOn w:val="716"/>
    <w:next w:val="716"/>
    <w:uiPriority w:val="99"/>
    <w:qFormat/>
    <w:pPr>
      <w:jc w:val="center"/>
      <w:keepNext/>
      <w:widowControl w:val="off"/>
    </w:pPr>
  </w:style>
  <w:style w:type="paragraph" w:styleId="1053" w:customStyle="1">
    <w:name w:val="Основной текст.bt.Основной текст Знак"/>
    <w:basedOn w:val="716"/>
    <w:uiPriority w:val="99"/>
    <w:qFormat/>
    <w:pPr>
      <w:spacing w:after="120"/>
    </w:pPr>
  </w:style>
  <w:style w:type="paragraph" w:styleId="1054" w:customStyle="1">
    <w:name w:val="Знак13"/>
    <w:basedOn w:val="716"/>
    <w:uiPriority w:val="99"/>
    <w:qFormat/>
    <w:pPr>
      <w:spacing w:after="160" w:line="240" w:lineRule="exact"/>
    </w:pPr>
    <w:rPr>
      <w:sz w:val="28"/>
      <w:szCs w:val="28"/>
      <w:lang w:val="en-US" w:eastAsia="en-US"/>
    </w:rPr>
  </w:style>
  <w:style w:type="paragraph" w:styleId="1055" w:customStyle="1">
    <w:name w:val="Стиль13-1"/>
    <w:basedOn w:val="716"/>
    <w:uiPriority w:val="99"/>
    <w:qFormat/>
    <w:pPr>
      <w:ind w:firstLine="709"/>
      <w:jc w:val="both"/>
      <w:widowControl w:val="off"/>
    </w:pPr>
    <w:rPr>
      <w:sz w:val="26"/>
    </w:rPr>
  </w:style>
  <w:style w:type="paragraph" w:styleId="1056" w:customStyle="1">
    <w:name w:val="ConsPlusNormal"/>
    <w:qFormat/>
    <w:pPr>
      <w:ind w:firstLine="720"/>
      <w:widowControl w:val="off"/>
    </w:pPr>
    <w:rPr>
      <w:rFonts w:ascii="Arial" w:hAnsi="Arial" w:cs="Arial"/>
      <w:lang w:eastAsia="ru-RU"/>
    </w:rPr>
  </w:style>
  <w:style w:type="paragraph" w:styleId="1057" w:customStyle="1">
    <w:name w:val="Текст в заданном формате"/>
    <w:basedOn w:val="716"/>
    <w:uiPriority w:val="99"/>
    <w:qFormat/>
    <w:pPr>
      <w:widowControl w:val="off"/>
    </w:pPr>
    <w:rPr>
      <w:rFonts w:ascii="Courier New" w:hAnsi="Courier New" w:cs="Courier New"/>
    </w:rPr>
  </w:style>
  <w:style w:type="paragraph" w:styleId="1058" w:customStyle="1">
    <w:name w:val="Обычный12"/>
    <w:uiPriority w:val="99"/>
    <w:qFormat/>
    <w:pPr>
      <w:spacing w:after="200" w:line="276" w:lineRule="auto"/>
    </w:pPr>
    <w:rPr>
      <w:rFonts w:ascii="Courier New" w:hAnsi="Courier New"/>
      <w:sz w:val="22"/>
      <w:szCs w:val="22"/>
      <w:lang w:eastAsia="ru-RU"/>
    </w:rPr>
  </w:style>
  <w:style w:type="paragraph" w:styleId="1059" w:customStyle="1">
    <w:name w:val="Основной"/>
    <w:basedOn w:val="716"/>
    <w:uiPriority w:val="99"/>
    <w:qFormat/>
    <w:pPr>
      <w:ind w:firstLine="720"/>
      <w:jc w:val="both"/>
      <w:spacing w:before="120"/>
    </w:pPr>
    <w:rPr>
      <w:sz w:val="28"/>
    </w:rPr>
  </w:style>
  <w:style w:type="paragraph" w:styleId="1060" w:customStyle="1">
    <w:name w:val="ConsPlusNonformat"/>
    <w:uiPriority w:val="99"/>
    <w:qFormat/>
    <w:pPr>
      <w:widowControl w:val="off"/>
    </w:pPr>
    <w:rPr>
      <w:rFonts w:ascii="Courier New" w:hAnsi="Courier New" w:cs="Courier New"/>
      <w:lang w:eastAsia="ru-RU"/>
    </w:rPr>
  </w:style>
  <w:style w:type="paragraph" w:styleId="1061" w:customStyle="1">
    <w:name w:val="Название объекта1"/>
    <w:basedOn w:val="716"/>
    <w:uiPriority w:val="99"/>
    <w:qFormat/>
    <w:pPr>
      <w:jc w:val="center"/>
    </w:pPr>
    <w:rPr>
      <w:sz w:val="36"/>
      <w:lang w:eastAsia="ar-SA"/>
    </w:rPr>
  </w:style>
  <w:style w:type="paragraph" w:styleId="1062" w:customStyle="1">
    <w:name w:val="Знак Знак Знак Знак Знак Знак Знак"/>
    <w:basedOn w:val="716"/>
    <w:uiPriority w:val="99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styleId="1063" w:customStyle="1">
    <w:name w:val="Default"/>
    <w:qFormat/>
    <w:rPr>
      <w:rFonts w:ascii="Calibri" w:hAnsi="Calibri" w:cs="Calibri"/>
      <w:color w:val="000000"/>
      <w:sz w:val="24"/>
      <w:szCs w:val="24"/>
      <w:lang w:eastAsia="ru-RU"/>
    </w:rPr>
  </w:style>
  <w:style w:type="paragraph" w:styleId="1064" w:customStyle="1">
    <w:name w:val="fn2r"/>
    <w:basedOn w:val="716"/>
    <w:uiPriority w:val="99"/>
    <w:qFormat/>
    <w:pPr>
      <w:spacing w:before="100" w:beforeAutospacing="1" w:after="100" w:afterAutospacing="1"/>
    </w:pPr>
  </w:style>
  <w:style w:type="paragraph" w:styleId="1065" w:customStyle="1">
    <w:name w:val="rtejustify"/>
    <w:basedOn w:val="716"/>
    <w:uiPriority w:val="99"/>
    <w:qFormat/>
    <w:pPr>
      <w:jc w:val="both"/>
      <w:spacing w:before="240" w:after="240"/>
    </w:pPr>
  </w:style>
  <w:style w:type="paragraph" w:styleId="1066" w:customStyle="1">
    <w:name w:val="Список с кружком"/>
    <w:basedOn w:val="716"/>
    <w:uiPriority w:val="99"/>
    <w:qFormat/>
    <w:pPr>
      <w:numPr>
        <w:ilvl w:val="0"/>
        <w:numId w:val="1"/>
      </w:numPr>
    </w:pPr>
  </w:style>
  <w:style w:type="paragraph" w:styleId="1067" w:customStyle="1">
    <w:name w:val="Обычный2"/>
    <w:uiPriority w:val="99"/>
    <w:qFormat/>
    <w:rPr>
      <w:lang w:eastAsia="ru-RU"/>
    </w:rPr>
  </w:style>
  <w:style w:type="paragraph" w:styleId="1068" w:customStyle="1">
    <w:name w:val="a"/>
    <w:basedOn w:val="716"/>
    <w:uiPriority w:val="99"/>
    <w:qFormat/>
    <w:pPr>
      <w:spacing w:before="100" w:beforeAutospacing="1" w:after="100" w:afterAutospacing="1"/>
    </w:pPr>
  </w:style>
  <w:style w:type="paragraph" w:styleId="1069" w:customStyle="1">
    <w:name w:val="Заголовок4;BIKITI"/>
    <w:uiPriority w:val="99"/>
    <w:qFormat/>
    <w:pPr>
      <w:ind w:left="283"/>
      <w:spacing w:after="57" w:line="240" w:lineRule="atLeast"/>
    </w:pPr>
    <w:rPr>
      <w:rFonts w:ascii="BalticaCTT" w:hAnsi="BalticaCTT" w:cs="BalticaCTT"/>
      <w:b/>
      <w:bCs/>
      <w:color w:val="000000"/>
      <w:sz w:val="22"/>
      <w:szCs w:val="22"/>
      <w:lang w:eastAsia="ru-RU"/>
    </w:rPr>
  </w:style>
  <w:style w:type="paragraph" w:styleId="1070" w:customStyle="1">
    <w:name w:val="Стиль 14 пт Первая строка:  125 см"/>
    <w:basedOn w:val="716"/>
    <w:uiPriority w:val="99"/>
    <w:qFormat/>
    <w:pPr>
      <w:ind w:firstLine="709"/>
      <w:jc w:val="both"/>
    </w:pPr>
    <w:rPr>
      <w:sz w:val="28"/>
    </w:rPr>
  </w:style>
  <w:style w:type="paragraph" w:styleId="1071" w:customStyle="1">
    <w:name w:val="Чиновничий"/>
    <w:basedOn w:val="716"/>
    <w:uiPriority w:val="99"/>
    <w:qFormat/>
    <w:pPr>
      <w:ind w:firstLine="709"/>
      <w:jc w:val="both"/>
      <w:spacing w:line="300" w:lineRule="exact"/>
      <w:widowControl w:val="off"/>
    </w:pPr>
    <w:rPr>
      <w:sz w:val="26"/>
      <w:szCs w:val="26"/>
    </w:rPr>
  </w:style>
  <w:style w:type="paragraph" w:styleId="1072" w:customStyle="1">
    <w:name w:val="subhead"/>
    <w:basedOn w:val="716"/>
    <w:uiPriority w:val="99"/>
    <w:qFormat/>
    <w:pPr>
      <w:spacing w:before="100" w:beforeAutospacing="1" w:after="100" w:afterAutospacing="1"/>
    </w:pPr>
    <w:rPr>
      <w:rFonts w:ascii="Arial" w:hAnsi="Arial" w:cs="Arial"/>
      <w:sz w:val="30"/>
      <w:szCs w:val="30"/>
    </w:rPr>
  </w:style>
  <w:style w:type="paragraph" w:styleId="1073" w:customStyle="1">
    <w:name w:val="Список1"/>
    <w:basedOn w:val="716"/>
    <w:uiPriority w:val="99"/>
    <w:qFormat/>
    <w:pPr>
      <w:spacing w:before="100" w:beforeAutospacing="1" w:after="100" w:afterAutospacing="1"/>
    </w:pPr>
    <w:rPr>
      <w:rFonts w:ascii="Arial" w:hAnsi="Arial" w:cs="Arial"/>
      <w:i/>
      <w:iCs/>
      <w:sz w:val="26"/>
      <w:szCs w:val="26"/>
    </w:rPr>
  </w:style>
  <w:style w:type="paragraph" w:styleId="1074" w:customStyle="1">
    <w:name w:val="showtableon"/>
    <w:basedOn w:val="716"/>
    <w:uiPriority w:val="99"/>
    <w:qFormat/>
    <w:pPr>
      <w:spacing w:before="100" w:beforeAutospacing="1" w:after="100" w:afterAutospacing="1"/>
    </w:pPr>
    <w:rPr>
      <w:b/>
      <w:bCs/>
      <w:color w:val="ff0000"/>
    </w:rPr>
  </w:style>
  <w:style w:type="paragraph" w:styleId="1075" w:customStyle="1">
    <w:name w:val="showtableout"/>
    <w:basedOn w:val="716"/>
    <w:uiPriority w:val="99"/>
    <w:qFormat/>
    <w:pPr>
      <w:spacing w:before="100" w:beforeAutospacing="1" w:after="100" w:afterAutospacing="1"/>
    </w:pPr>
    <w:rPr>
      <w:color w:val="0000ff"/>
    </w:rPr>
  </w:style>
  <w:style w:type="paragraph" w:styleId="1076" w:customStyle="1">
    <w:name w:val="rubrtbl"/>
    <w:basedOn w:val="716"/>
    <w:uiPriority w:val="99"/>
    <w:qFormat/>
    <w:pPr>
      <w:spacing w:before="100" w:beforeAutospacing="1" w:after="100" w:afterAutospacing="1"/>
    </w:pPr>
    <w:rPr>
      <w:rFonts w:ascii="Arial" w:hAnsi="Arial" w:cs="Arial"/>
      <w:sz w:val="30"/>
      <w:szCs w:val="30"/>
    </w:rPr>
  </w:style>
  <w:style w:type="paragraph" w:styleId="1077" w:customStyle="1">
    <w:name w:val="select"/>
    <w:basedOn w:val="716"/>
    <w:uiPriority w:val="99"/>
    <w:qFormat/>
    <w:pPr>
      <w:spacing w:before="100" w:beforeAutospacing="1" w:after="100" w:afterAutospacing="1"/>
    </w:pPr>
    <w:rPr>
      <w:sz w:val="16"/>
      <w:szCs w:val="16"/>
    </w:rPr>
  </w:style>
  <w:style w:type="paragraph" w:styleId="1078" w:customStyle="1">
    <w:name w:val="selectpok"/>
    <w:basedOn w:val="716"/>
    <w:uiPriority w:val="99"/>
    <w:qFormat/>
    <w:pPr>
      <w:spacing w:before="100" w:beforeAutospacing="1" w:after="100" w:afterAutospacing="1"/>
    </w:pPr>
  </w:style>
  <w:style w:type="paragraph" w:styleId="1079" w:customStyle="1">
    <w:name w:val="selectcell"/>
    <w:basedOn w:val="716"/>
    <w:uiPriority w:val="99"/>
    <w:qFormat/>
    <w:pPr>
      <w:spacing w:before="100" w:beforeAutospacing="1" w:after="100" w:afterAutospacing="1"/>
      <w:shd w:val="clear" w:color="auto" w:fill="a0abc6"/>
    </w:pPr>
  </w:style>
  <w:style w:type="paragraph" w:styleId="1080" w:customStyle="1">
    <w:name w:val="selectword"/>
    <w:basedOn w:val="716"/>
    <w:uiPriority w:val="99"/>
    <w:qFormat/>
    <w:pPr>
      <w:spacing w:before="100" w:beforeAutospacing="1" w:after="100" w:afterAutospacing="1"/>
    </w:pPr>
    <w:rPr>
      <w:sz w:val="16"/>
      <w:szCs w:val="16"/>
    </w:rPr>
  </w:style>
  <w:style w:type="paragraph" w:styleId="1081" w:customStyle="1">
    <w:name w:val="selectformat"/>
    <w:basedOn w:val="716"/>
    <w:uiPriority w:val="99"/>
    <w:qFormat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styleId="1082" w:customStyle="1">
    <w:name w:val="showtblcell"/>
    <w:basedOn w:val="716"/>
    <w:uiPriority w:val="99"/>
    <w:qFormat/>
    <w:pPr>
      <w:spacing w:before="100" w:beforeAutospacing="1" w:after="100" w:afterAutospacing="1"/>
      <w:shd w:val="clear" w:color="auto" w:fill="a0abc6"/>
    </w:pPr>
  </w:style>
  <w:style w:type="paragraph" w:styleId="1083" w:customStyle="1">
    <w:name w:val="kolichestvo"/>
    <w:basedOn w:val="716"/>
    <w:uiPriority w:val="99"/>
    <w:qFormat/>
    <w:pPr>
      <w:spacing w:before="100" w:beforeAutospacing="1" w:after="100" w:afterAutospacing="1"/>
    </w:pPr>
    <w:rPr>
      <w:sz w:val="16"/>
      <w:szCs w:val="16"/>
    </w:rPr>
  </w:style>
  <w:style w:type="paragraph" w:styleId="1084" w:customStyle="1">
    <w:name w:val="koltitle"/>
    <w:basedOn w:val="716"/>
    <w:uiPriority w:val="99"/>
    <w:qFormat/>
    <w:pPr>
      <w:spacing w:before="100" w:beforeAutospacing="1" w:after="100" w:afterAutospacing="1"/>
    </w:pPr>
    <w:rPr>
      <w:b/>
      <w:bCs/>
      <w:sz w:val="16"/>
      <w:szCs w:val="16"/>
    </w:rPr>
  </w:style>
  <w:style w:type="paragraph" w:styleId="1085" w:customStyle="1">
    <w:name w:val="order"/>
    <w:basedOn w:val="716"/>
    <w:uiPriority w:val="99"/>
    <w:qFormat/>
    <w:pPr>
      <w:spacing w:before="100" w:beforeAutospacing="1" w:after="100" w:afterAutospacing="1"/>
    </w:pPr>
    <w:rPr>
      <w:b/>
      <w:bCs/>
      <w:sz w:val="16"/>
      <w:szCs w:val="16"/>
    </w:rPr>
  </w:style>
  <w:style w:type="paragraph" w:styleId="1086" w:customStyle="1">
    <w:name w:val="hlpbtnstyle"/>
    <w:basedOn w:val="716"/>
    <w:uiPriority w:val="99"/>
    <w:qFormat/>
    <w:pPr>
      <w:spacing w:before="100" w:beforeAutospacing="1" w:after="100" w:afterAutospacing="1"/>
      <w:shd w:val="clear" w:color="auto" w:fill="a0abc6"/>
    </w:pPr>
  </w:style>
  <w:style w:type="paragraph" w:styleId="1087" w:customStyle="1">
    <w:name w:val="btnstyle"/>
    <w:basedOn w:val="716"/>
    <w:uiPriority w:val="99"/>
    <w:qFormat/>
    <w:pPr>
      <w:spacing w:before="100" w:beforeAutospacing="1" w:after="100" w:afterAutospacing="1"/>
      <w:shd w:val="clear" w:color="auto" w:fill="a0abc6"/>
    </w:pPr>
  </w:style>
  <w:style w:type="paragraph" w:styleId="1088" w:customStyle="1">
    <w:name w:val="outtbl"/>
    <w:basedOn w:val="716"/>
    <w:uiPriority w:val="99"/>
    <w:qFormat/>
    <w:pPr>
      <w:spacing w:before="100" w:beforeAutospacing="1" w:after="100" w:afterAutospacing="1"/>
    </w:pPr>
    <w:rPr>
      <w:sz w:val="22"/>
      <w:szCs w:val="22"/>
    </w:rPr>
  </w:style>
  <w:style w:type="paragraph" w:styleId="1089" w:customStyle="1">
    <w:name w:val="zagtbl"/>
    <w:basedOn w:val="716"/>
    <w:uiPriority w:val="99"/>
    <w:qFormat/>
    <w:pPr>
      <w:spacing w:before="100" w:beforeAutospacing="1" w:after="100" w:afterAutospacing="1"/>
    </w:pPr>
    <w:rPr>
      <w:b/>
      <w:bCs/>
      <w:sz w:val="26"/>
      <w:szCs w:val="26"/>
    </w:rPr>
  </w:style>
  <w:style w:type="paragraph" w:styleId="1090" w:customStyle="1">
    <w:name w:val="tblshap"/>
    <w:basedOn w:val="716"/>
    <w:uiPriority w:val="99"/>
    <w:qFormat/>
    <w:pPr>
      <w:spacing w:before="100" w:beforeAutospacing="1" w:after="100" w:afterAutospacing="1"/>
      <w:shd w:val="clear" w:color="auto" w:fill="d3d3d3"/>
    </w:pPr>
    <w:rPr>
      <w:b/>
      <w:bCs/>
      <w:sz w:val="22"/>
      <w:szCs w:val="22"/>
    </w:rPr>
  </w:style>
  <w:style w:type="paragraph" w:styleId="1091" w:customStyle="1">
    <w:name w:val="tblbok"/>
    <w:basedOn w:val="716"/>
    <w:uiPriority w:val="99"/>
    <w:qFormat/>
    <w:pPr>
      <w:spacing w:before="100" w:beforeAutospacing="1" w:after="100" w:afterAutospacing="1"/>
      <w:shd w:val="clear" w:color="auto" w:fill="d3d3d3"/>
    </w:pPr>
  </w:style>
  <w:style w:type="paragraph" w:styleId="1092" w:customStyle="1">
    <w:name w:val="selectcellft"/>
    <w:basedOn w:val="716"/>
    <w:uiPriority w:val="99"/>
    <w:qFormat/>
    <w:pPr>
      <w:spacing w:before="100" w:beforeAutospacing="1" w:after="100" w:afterAutospacing="1"/>
      <w:shd w:val="clear" w:color="auto" w:fill="c8cedd"/>
    </w:pPr>
    <w:rPr>
      <w:color w:val="000080"/>
    </w:rPr>
  </w:style>
  <w:style w:type="paragraph" w:styleId="1093" w:customStyle="1">
    <w:name w:val="bl0"/>
    <w:basedOn w:val="716"/>
    <w:uiPriority w:val="99"/>
    <w:qFormat/>
    <w:pPr>
      <w:spacing w:before="100" w:beforeAutospacing="1" w:after="100" w:afterAutospacing="1"/>
    </w:pPr>
    <w:rPr>
      <w:b/>
      <w:bCs/>
      <w:sz w:val="22"/>
      <w:szCs w:val="22"/>
    </w:rPr>
  </w:style>
  <w:style w:type="paragraph" w:styleId="1094" w:customStyle="1">
    <w:name w:val="bl1"/>
    <w:basedOn w:val="716"/>
    <w:uiPriority w:val="99"/>
    <w:qFormat/>
    <w:pPr>
      <w:spacing w:before="100" w:beforeAutospacing="1" w:after="100" w:afterAutospacing="1"/>
    </w:pPr>
    <w:rPr>
      <w:sz w:val="22"/>
      <w:szCs w:val="22"/>
    </w:rPr>
  </w:style>
  <w:style w:type="paragraph" w:styleId="1095" w:customStyle="1">
    <w:name w:val="bl2"/>
    <w:basedOn w:val="716"/>
    <w:uiPriority w:val="99"/>
    <w:qFormat/>
    <w:pPr>
      <w:spacing w:before="100" w:beforeAutospacing="1" w:after="100" w:afterAutospacing="1"/>
    </w:pPr>
    <w:rPr>
      <w:i/>
      <w:iCs/>
      <w:sz w:val="22"/>
      <w:szCs w:val="22"/>
    </w:rPr>
  </w:style>
  <w:style w:type="paragraph" w:styleId="1096" w:customStyle="1">
    <w:name w:val="bl3"/>
    <w:basedOn w:val="716"/>
    <w:uiPriority w:val="99"/>
    <w:qFormat/>
    <w:pPr>
      <w:spacing w:before="100" w:beforeAutospacing="1" w:after="100" w:afterAutospacing="1"/>
    </w:pPr>
    <w:rPr>
      <w:sz w:val="19"/>
      <w:szCs w:val="19"/>
    </w:rPr>
  </w:style>
  <w:style w:type="paragraph" w:styleId="1097" w:customStyle="1">
    <w:name w:val="bl4"/>
    <w:basedOn w:val="716"/>
    <w:uiPriority w:val="99"/>
    <w:qFormat/>
    <w:pPr>
      <w:spacing w:before="100" w:beforeAutospacing="1" w:after="100" w:afterAutospacing="1"/>
    </w:pPr>
    <w:rPr>
      <w:sz w:val="19"/>
      <w:szCs w:val="19"/>
    </w:rPr>
  </w:style>
  <w:style w:type="paragraph" w:styleId="1098" w:customStyle="1">
    <w:name w:val="bl5"/>
    <w:basedOn w:val="716"/>
    <w:uiPriority w:val="99"/>
    <w:qFormat/>
    <w:pPr>
      <w:spacing w:before="100" w:beforeAutospacing="1" w:after="100" w:afterAutospacing="1"/>
    </w:pPr>
    <w:rPr>
      <w:sz w:val="19"/>
      <w:szCs w:val="19"/>
    </w:rPr>
  </w:style>
  <w:style w:type="paragraph" w:styleId="1099" w:customStyle="1">
    <w:name w:val="bl6"/>
    <w:basedOn w:val="716"/>
    <w:uiPriority w:val="99"/>
    <w:qFormat/>
    <w:pPr>
      <w:spacing w:before="100" w:beforeAutospacing="1" w:after="100" w:afterAutospacing="1"/>
    </w:pPr>
    <w:rPr>
      <w:sz w:val="19"/>
      <w:szCs w:val="19"/>
    </w:rPr>
  </w:style>
  <w:style w:type="paragraph" w:styleId="1100" w:customStyle="1">
    <w:name w:val="bl7"/>
    <w:basedOn w:val="716"/>
    <w:uiPriority w:val="99"/>
    <w:qFormat/>
    <w:pPr>
      <w:spacing w:before="100" w:beforeAutospacing="1" w:after="100" w:afterAutospacing="1"/>
    </w:pPr>
    <w:rPr>
      <w:sz w:val="19"/>
      <w:szCs w:val="19"/>
    </w:rPr>
  </w:style>
  <w:style w:type="paragraph" w:styleId="1101" w:customStyle="1">
    <w:name w:val="bl8"/>
    <w:basedOn w:val="716"/>
    <w:uiPriority w:val="99"/>
    <w:qFormat/>
    <w:pPr>
      <w:spacing w:before="100" w:beforeAutospacing="1" w:after="100" w:afterAutospacing="1"/>
    </w:pPr>
    <w:rPr>
      <w:sz w:val="19"/>
      <w:szCs w:val="19"/>
    </w:rPr>
  </w:style>
  <w:style w:type="paragraph" w:styleId="1102" w:customStyle="1">
    <w:name w:val="no-main-section"/>
    <w:basedOn w:val="716"/>
    <w:uiPriority w:val="99"/>
    <w:qFormat/>
    <w:pPr>
      <w:spacing w:before="100" w:beforeAutospacing="1" w:after="100" w:afterAutospacing="1" w:line="374" w:lineRule="atLeast"/>
    </w:pPr>
    <w:rPr>
      <w:rFonts w:ascii="Arial" w:hAnsi="Arial" w:cs="Arial"/>
      <w:color w:val="636363"/>
      <w:sz w:val="32"/>
      <w:szCs w:val="32"/>
    </w:rPr>
  </w:style>
  <w:style w:type="character" w:styleId="1103" w:customStyle="1">
    <w:name w:val="Основной текст_"/>
    <w:link w:val="1104"/>
    <w:rPr>
      <w:spacing w:val="2"/>
      <w:sz w:val="26"/>
      <w:shd w:val="clear" w:color="auto" w:fill="ffffff"/>
    </w:rPr>
  </w:style>
  <w:style w:type="paragraph" w:styleId="1104" w:customStyle="1">
    <w:name w:val="Основной текст1"/>
    <w:basedOn w:val="716"/>
    <w:link w:val="1103"/>
    <w:uiPriority w:val="1"/>
    <w:qFormat/>
    <w:pPr>
      <w:ind w:hanging="420"/>
      <w:jc w:val="center"/>
      <w:spacing w:before="300" w:after="300" w:line="334" w:lineRule="exact"/>
      <w:shd w:val="clear" w:color="auto" w:fill="ffffff"/>
    </w:pPr>
    <w:rPr>
      <w:rFonts w:eastAsia="Times New Roman"/>
      <w:spacing w:val="2"/>
      <w:sz w:val="26"/>
      <w:szCs w:val="20"/>
      <w:lang w:val="en-US" w:eastAsia="en-US"/>
    </w:rPr>
  </w:style>
  <w:style w:type="paragraph" w:styleId="1105" w:customStyle="1">
    <w:name w:val="Прижатый влево"/>
    <w:basedOn w:val="716"/>
    <w:next w:val="716"/>
    <w:uiPriority w:val="99"/>
    <w:qFormat/>
    <w:pPr>
      <w:widowControl w:val="off"/>
    </w:pPr>
    <w:rPr>
      <w:rFonts w:ascii="Arial" w:hAnsi="Arial" w:cs="Arial"/>
    </w:rPr>
  </w:style>
  <w:style w:type="paragraph" w:styleId="1106" w:customStyle="1">
    <w:name w:val="Caaieiaie_iino"/>
    <w:basedOn w:val="716"/>
    <w:uiPriority w:val="99"/>
    <w:qFormat/>
    <w:pPr>
      <w:ind w:left="720" w:right="4627"/>
      <w:tabs>
        <w:tab w:val="left" w:pos="10440" w:leader="none"/>
      </w:tabs>
    </w:pPr>
    <w:rPr>
      <w:sz w:val="26"/>
    </w:rPr>
  </w:style>
  <w:style w:type="paragraph" w:styleId="1107" w:customStyle="1">
    <w:name w:val="Нормальный (таблица)"/>
    <w:basedOn w:val="716"/>
    <w:next w:val="716"/>
    <w:uiPriority w:val="99"/>
    <w:qFormat/>
    <w:pPr>
      <w:jc w:val="both"/>
    </w:pPr>
    <w:rPr>
      <w:rFonts w:ascii="Arial" w:hAnsi="Arial"/>
    </w:rPr>
  </w:style>
  <w:style w:type="paragraph" w:styleId="1108" w:customStyle="1">
    <w:name w:val="Абзац списка1"/>
    <w:basedOn w:val="716"/>
    <w:qFormat/>
    <w:pPr>
      <w:contextualSpacing/>
      <w:ind w:left="720"/>
    </w:pPr>
    <w:rPr>
      <w:sz w:val="28"/>
    </w:rPr>
  </w:style>
  <w:style w:type="character" w:styleId="1109" w:customStyle="1">
    <w:name w:val="Основной текст (11)_"/>
    <w:link w:val="1110"/>
    <w:uiPriority w:val="99"/>
    <w:rPr>
      <w:sz w:val="26"/>
      <w:shd w:val="clear" w:color="auto" w:fill="ffffff"/>
    </w:rPr>
  </w:style>
  <w:style w:type="paragraph" w:styleId="1110" w:customStyle="1">
    <w:name w:val="Основной текст (11)"/>
    <w:basedOn w:val="716"/>
    <w:link w:val="1109"/>
    <w:uiPriority w:val="99"/>
    <w:qFormat/>
    <w:pPr>
      <w:contextualSpacing/>
      <w:ind w:firstLine="709"/>
      <w:jc w:val="both"/>
      <w:spacing w:before="360" w:after="60" w:line="240" w:lineRule="atLeast"/>
      <w:shd w:val="clear" w:color="auto" w:fill="ffffff"/>
    </w:pPr>
    <w:rPr>
      <w:rFonts w:eastAsia="Times New Roman"/>
      <w:sz w:val="26"/>
      <w:szCs w:val="20"/>
      <w:lang w:val="en-US" w:eastAsia="en-US"/>
    </w:rPr>
  </w:style>
  <w:style w:type="character" w:styleId="1111" w:customStyle="1">
    <w:name w:val="Заголовок №2_"/>
    <w:link w:val="1112"/>
    <w:uiPriority w:val="99"/>
    <w:rPr>
      <w:spacing w:val="1"/>
      <w:sz w:val="25"/>
      <w:shd w:val="clear" w:color="auto" w:fill="ffffff"/>
    </w:rPr>
  </w:style>
  <w:style w:type="paragraph" w:styleId="1112" w:customStyle="1">
    <w:name w:val="Заголовок №2"/>
    <w:basedOn w:val="716"/>
    <w:link w:val="1111"/>
    <w:uiPriority w:val="99"/>
    <w:qFormat/>
    <w:pPr>
      <w:contextualSpacing/>
      <w:ind w:firstLine="700"/>
      <w:jc w:val="both"/>
      <w:spacing w:line="322" w:lineRule="exact"/>
      <w:shd w:val="clear" w:color="auto" w:fill="ffffff"/>
      <w:outlineLvl w:val="1"/>
    </w:pPr>
    <w:rPr>
      <w:rFonts w:eastAsia="Times New Roman"/>
      <w:spacing w:val="1"/>
      <w:sz w:val="25"/>
      <w:szCs w:val="20"/>
      <w:lang w:val="en-US" w:eastAsia="en-US"/>
    </w:rPr>
  </w:style>
  <w:style w:type="paragraph" w:styleId="1113" w:customStyle="1">
    <w:name w:val="Знак5 Знак Знак Знак Знак Знак2"/>
    <w:basedOn w:val="716"/>
    <w:uiPriority w:val="99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styleId="1114" w:customStyle="1">
    <w:name w:val="Основной текст с отступом 311"/>
    <w:basedOn w:val="716"/>
    <w:uiPriority w:val="99"/>
    <w:qFormat/>
    <w:pPr>
      <w:ind w:right="400" w:firstLine="851"/>
      <w:jc w:val="both"/>
      <w:spacing w:line="259" w:lineRule="auto"/>
      <w:widowControl w:val="off"/>
    </w:pPr>
    <w:rPr>
      <w:sz w:val="22"/>
    </w:rPr>
  </w:style>
  <w:style w:type="paragraph" w:styleId="1115" w:customStyle="1">
    <w:name w:val="Основной текст с отступом 211"/>
    <w:basedOn w:val="716"/>
    <w:uiPriority w:val="99"/>
    <w:qFormat/>
    <w:pPr>
      <w:ind w:firstLine="567"/>
      <w:jc w:val="both"/>
      <w:widowControl w:val="off"/>
    </w:pPr>
    <w:rPr>
      <w:sz w:val="28"/>
      <w:lang w:eastAsia="ar-SA"/>
    </w:rPr>
  </w:style>
  <w:style w:type="paragraph" w:styleId="1116" w:customStyle="1">
    <w:name w:val="Знак1 Знак Знак2"/>
    <w:basedOn w:val="716"/>
    <w:uiPriority w:val="99"/>
    <w:qFormat/>
    <w:rPr>
      <w:rFonts w:ascii="Verdana" w:hAnsi="Verdana" w:cs="Verdana"/>
      <w:lang w:val="en-US" w:eastAsia="en-US"/>
    </w:rPr>
  </w:style>
  <w:style w:type="paragraph" w:styleId="1117" w:customStyle="1">
    <w:name w:val="Знак2 Знак Знак1 Знак1 Знак Знак Знак Знак Знак Знак Знак Знак Знак Знак Знак Знак Знак Знак2"/>
    <w:basedOn w:val="716"/>
    <w:uiPriority w:val="99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styleId="1118" w:customStyle="1">
    <w:name w:val="Знак Знак22"/>
    <w:basedOn w:val="716"/>
    <w:uiPriority w:val="99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styleId="1119" w:customStyle="1">
    <w:name w:val="Знак11"/>
    <w:basedOn w:val="716"/>
    <w:uiPriority w:val="99"/>
    <w:qFormat/>
    <w:pPr>
      <w:spacing w:after="160" w:line="240" w:lineRule="exact"/>
    </w:pPr>
    <w:rPr>
      <w:sz w:val="28"/>
      <w:szCs w:val="28"/>
      <w:lang w:val="en-US" w:eastAsia="en-US"/>
    </w:rPr>
  </w:style>
  <w:style w:type="paragraph" w:styleId="1120" w:customStyle="1">
    <w:name w:val="Обычный11"/>
    <w:uiPriority w:val="99"/>
    <w:qFormat/>
    <w:pPr>
      <w:spacing w:after="200" w:line="276" w:lineRule="auto"/>
    </w:pPr>
    <w:rPr>
      <w:rFonts w:ascii="Courier New" w:hAnsi="Courier New"/>
      <w:sz w:val="22"/>
      <w:szCs w:val="22"/>
      <w:lang w:eastAsia="ru-RU"/>
    </w:rPr>
  </w:style>
  <w:style w:type="paragraph" w:styleId="1121" w:customStyle="1">
    <w:name w:val="Знак Знак Знак Знак Знак Знак Знак2"/>
    <w:basedOn w:val="716"/>
    <w:uiPriority w:val="99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styleId="1122" w:customStyle="1">
    <w:name w:val="Без интервала1"/>
    <w:qFormat/>
    <w:rPr>
      <w:rFonts w:ascii="Calibri" w:hAnsi="Calibri"/>
      <w:sz w:val="22"/>
      <w:szCs w:val="22"/>
      <w:lang w:eastAsia="en-US"/>
    </w:rPr>
  </w:style>
  <w:style w:type="character" w:styleId="1123" w:customStyle="1">
    <w:name w:val="List Paragraph Char"/>
    <w:link w:val="1124"/>
    <w:uiPriority w:val="99"/>
    <w:rPr>
      <w:sz w:val="28"/>
    </w:rPr>
  </w:style>
  <w:style w:type="paragraph" w:styleId="1124" w:customStyle="1">
    <w:name w:val="Абзац списка11"/>
    <w:basedOn w:val="716"/>
    <w:link w:val="1123"/>
    <w:uiPriority w:val="99"/>
    <w:qFormat/>
    <w:pPr>
      <w:contextualSpacing/>
      <w:ind w:left="720"/>
    </w:pPr>
    <w:rPr>
      <w:rFonts w:eastAsia="Times New Roman"/>
      <w:sz w:val="28"/>
      <w:szCs w:val="20"/>
      <w:lang w:val="en-US" w:eastAsia="en-US"/>
    </w:rPr>
  </w:style>
  <w:style w:type="paragraph" w:styleId="1125" w:customStyle="1">
    <w:name w:val="ConsPlusCell"/>
    <w:uiPriority w:val="99"/>
    <w:qFormat/>
    <w:pPr>
      <w:widowControl w:val="off"/>
    </w:pPr>
    <w:rPr>
      <w:rFonts w:ascii="Calibri" w:hAnsi="Calibri" w:cs="Calibri"/>
      <w:sz w:val="22"/>
      <w:szCs w:val="22"/>
      <w:lang w:eastAsia="ru-RU"/>
    </w:rPr>
  </w:style>
  <w:style w:type="paragraph" w:styleId="1126" w:customStyle="1">
    <w:name w:val="Основной текст3"/>
    <w:basedOn w:val="716"/>
    <w:qFormat/>
    <w:pPr>
      <w:ind w:firstLine="567"/>
      <w:jc w:val="both"/>
      <w:spacing w:line="276" w:lineRule="auto"/>
      <w:shd w:val="clear" w:color="auto" w:fill="ffffff"/>
    </w:pPr>
    <w:rPr>
      <w:sz w:val="25"/>
      <w:szCs w:val="25"/>
      <w:lang w:eastAsia="ar-SA"/>
    </w:rPr>
  </w:style>
  <w:style w:type="character" w:styleId="1127" w:customStyle="1">
    <w:name w:val="Body text (2)_"/>
    <w:link w:val="1128"/>
    <w:rPr>
      <w:sz w:val="28"/>
      <w:shd w:val="clear" w:color="auto" w:fill="ffffff"/>
    </w:rPr>
  </w:style>
  <w:style w:type="paragraph" w:styleId="1128" w:customStyle="1">
    <w:name w:val="Body text (2)"/>
    <w:basedOn w:val="716"/>
    <w:link w:val="1127"/>
    <w:qFormat/>
    <w:pPr>
      <w:ind w:firstLine="600"/>
      <w:jc w:val="both"/>
      <w:spacing w:line="317" w:lineRule="exact"/>
      <w:shd w:val="clear" w:color="auto" w:fill="ffffff"/>
      <w:widowControl w:val="off"/>
    </w:pPr>
    <w:rPr>
      <w:rFonts w:eastAsia="Times New Roman"/>
      <w:sz w:val="28"/>
      <w:szCs w:val="20"/>
      <w:lang w:val="en-US" w:eastAsia="en-US"/>
    </w:rPr>
  </w:style>
  <w:style w:type="paragraph" w:styleId="1129" w:customStyle="1">
    <w:name w:val="ГОСТ 7.32"/>
    <w:basedOn w:val="716"/>
    <w:uiPriority w:val="99"/>
    <w:qFormat/>
    <w:pPr>
      <w:ind w:firstLine="567"/>
      <w:jc w:val="both"/>
      <w:spacing w:line="360" w:lineRule="auto"/>
    </w:pPr>
    <w:rPr>
      <w:szCs w:val="28"/>
      <w:lang w:eastAsia="en-US"/>
    </w:rPr>
  </w:style>
  <w:style w:type="paragraph" w:styleId="1130" w:customStyle="1">
    <w:name w:val="s_1"/>
    <w:basedOn w:val="716"/>
    <w:qFormat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1131" w:customStyle="1">
    <w:name w:val="Body Text Indent 21"/>
    <w:basedOn w:val="716"/>
    <w:uiPriority w:val="99"/>
    <w:qFormat/>
    <w:pPr>
      <w:ind w:firstLine="709"/>
      <w:jc w:val="both"/>
    </w:pPr>
    <w:rPr>
      <w:sz w:val="28"/>
    </w:rPr>
  </w:style>
  <w:style w:type="paragraph" w:styleId="1132" w:customStyle="1">
    <w:name w:val="Body Text Indent 31"/>
    <w:basedOn w:val="716"/>
    <w:uiPriority w:val="99"/>
    <w:qFormat/>
    <w:pPr>
      <w:ind w:right="400" w:firstLine="851"/>
      <w:jc w:val="both"/>
      <w:spacing w:line="259" w:lineRule="auto"/>
      <w:widowControl w:val="off"/>
    </w:pPr>
    <w:rPr>
      <w:sz w:val="22"/>
    </w:rPr>
  </w:style>
  <w:style w:type="paragraph" w:styleId="1133" w:customStyle="1">
    <w:name w:val="Normal1"/>
    <w:uiPriority w:val="99"/>
    <w:qFormat/>
    <w:rPr>
      <w:sz w:val="24"/>
      <w:lang w:eastAsia="ar-SA"/>
    </w:rPr>
  </w:style>
  <w:style w:type="paragraph" w:styleId="1134" w:customStyle="1">
    <w:name w:val="Знак12"/>
    <w:basedOn w:val="716"/>
    <w:uiPriority w:val="99"/>
    <w:qFormat/>
    <w:pPr>
      <w:spacing w:after="160" w:line="240" w:lineRule="exact"/>
    </w:pPr>
    <w:rPr>
      <w:sz w:val="28"/>
      <w:szCs w:val="28"/>
      <w:lang w:val="en-US" w:eastAsia="en-US"/>
    </w:rPr>
  </w:style>
  <w:style w:type="paragraph" w:styleId="1135" w:customStyle="1">
    <w:name w:val="Список11"/>
    <w:basedOn w:val="716"/>
    <w:uiPriority w:val="99"/>
    <w:qFormat/>
    <w:pPr>
      <w:spacing w:before="100" w:beforeAutospacing="1" w:after="100" w:afterAutospacing="1"/>
    </w:pPr>
    <w:rPr>
      <w:rFonts w:ascii="Arial" w:hAnsi="Arial" w:cs="Arial"/>
      <w:i/>
      <w:iCs/>
      <w:sz w:val="26"/>
      <w:szCs w:val="26"/>
    </w:rPr>
  </w:style>
  <w:style w:type="paragraph" w:styleId="1136" w:customStyle="1">
    <w:name w:val="List Paragraph1"/>
    <w:basedOn w:val="716"/>
    <w:uiPriority w:val="99"/>
    <w:qFormat/>
    <w:pPr>
      <w:contextualSpacing/>
      <w:ind w:left="720"/>
    </w:pPr>
    <w:rPr>
      <w:sz w:val="28"/>
    </w:rPr>
  </w:style>
  <w:style w:type="paragraph" w:styleId="1137" w:customStyle="1">
    <w:name w:val="Знак5 Знак Знак Знак Знак Знак1"/>
    <w:basedOn w:val="716"/>
    <w:uiPriority w:val="99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styleId="1138" w:customStyle="1">
    <w:name w:val="Знак1 Знак Знак1"/>
    <w:basedOn w:val="716"/>
    <w:uiPriority w:val="99"/>
    <w:qFormat/>
    <w:rPr>
      <w:rFonts w:ascii="Verdana" w:hAnsi="Verdana" w:cs="Verdana"/>
      <w:lang w:val="en-US" w:eastAsia="en-US"/>
    </w:rPr>
  </w:style>
  <w:style w:type="paragraph" w:styleId="1139" w:customStyle="1">
    <w:name w:val="Знак2 Знак Знак1 Знак1 Знак Знак Знак Знак Знак Знак Знак Знак Знак Знак Знак Знак Знак Знак1"/>
    <w:basedOn w:val="716"/>
    <w:uiPriority w:val="99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styleId="1140" w:customStyle="1">
    <w:name w:val="Знак Знак21"/>
    <w:basedOn w:val="716"/>
    <w:uiPriority w:val="99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styleId="1141" w:customStyle="1">
    <w:name w:val="Знак Знак Знак Знак Знак Знак Знак1"/>
    <w:basedOn w:val="716"/>
    <w:uiPriority w:val="99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styleId="1142" w:customStyle="1">
    <w:name w:val="No Spacing1"/>
    <w:uiPriority w:val="99"/>
    <w:qFormat/>
    <w:rPr>
      <w:rFonts w:ascii="Calibri" w:hAnsi="Calibri"/>
      <w:sz w:val="22"/>
      <w:szCs w:val="22"/>
      <w:lang w:eastAsia="en-US"/>
    </w:rPr>
  </w:style>
  <w:style w:type="paragraph" w:styleId="1143" w:customStyle="1">
    <w:name w:val="Без интервала11"/>
    <w:uiPriority w:val="99"/>
    <w:qFormat/>
    <w:rPr>
      <w:rFonts w:ascii="Calibri" w:hAnsi="Calibri"/>
      <w:sz w:val="22"/>
      <w:szCs w:val="22"/>
      <w:lang w:eastAsia="en-US"/>
    </w:rPr>
  </w:style>
  <w:style w:type="paragraph" w:styleId="1144" w:customStyle="1">
    <w:name w:val="style2"/>
    <w:basedOn w:val="716"/>
    <w:uiPriority w:val="99"/>
    <w:qFormat/>
    <w:pPr>
      <w:spacing w:before="100" w:beforeAutospacing="1" w:after="100" w:afterAutospacing="1"/>
    </w:pPr>
  </w:style>
  <w:style w:type="paragraph" w:styleId="1145" w:customStyle="1">
    <w:name w:val="Style8"/>
    <w:basedOn w:val="716"/>
    <w:uiPriority w:val="99"/>
    <w:qFormat/>
    <w:pPr>
      <w:ind w:hanging="346"/>
      <w:jc w:val="both"/>
      <w:spacing w:line="276" w:lineRule="exact"/>
      <w:widowControl w:val="off"/>
    </w:pPr>
    <w:rPr>
      <w:rFonts w:ascii="Georgia" w:hAnsi="Georgia"/>
    </w:rPr>
  </w:style>
  <w:style w:type="paragraph" w:styleId="1146" w:customStyle="1">
    <w:name w:val="left"/>
    <w:basedOn w:val="716"/>
    <w:qFormat/>
    <w:pPr>
      <w:spacing w:before="100" w:beforeAutospacing="1" w:after="100" w:afterAutospacing="1"/>
    </w:pPr>
  </w:style>
  <w:style w:type="paragraph" w:styleId="1147" w:customStyle="1">
    <w:name w:val="right"/>
    <w:basedOn w:val="716"/>
    <w:qFormat/>
    <w:pPr>
      <w:spacing w:before="100" w:beforeAutospacing="1" w:after="100" w:afterAutospacing="1"/>
    </w:pPr>
  </w:style>
  <w:style w:type="paragraph" w:styleId="1148" w:customStyle="1">
    <w:name w:val="Список2"/>
    <w:basedOn w:val="716"/>
    <w:uiPriority w:val="99"/>
    <w:qFormat/>
    <w:pPr>
      <w:spacing w:before="100" w:beforeAutospacing="1" w:after="100" w:afterAutospacing="1"/>
    </w:pPr>
    <w:rPr>
      <w:rFonts w:ascii="Arial" w:hAnsi="Arial" w:cs="Arial"/>
      <w:i/>
      <w:iCs/>
      <w:sz w:val="26"/>
      <w:szCs w:val="26"/>
    </w:rPr>
  </w:style>
  <w:style w:type="paragraph" w:styleId="1149" w:customStyle="1">
    <w:name w:val="Style15"/>
    <w:basedOn w:val="716"/>
    <w:uiPriority w:val="99"/>
    <w:qFormat/>
    <w:pPr>
      <w:ind w:firstLine="554"/>
      <w:jc w:val="both"/>
      <w:spacing w:line="450" w:lineRule="exact"/>
      <w:widowControl w:val="off"/>
    </w:pPr>
    <w:rPr>
      <w:rFonts w:ascii="Microsoft Sans Serif" w:hAnsi="Microsoft Sans Serif" w:cs="Microsoft Sans Serif"/>
    </w:rPr>
  </w:style>
  <w:style w:type="paragraph" w:styleId="1150" w:customStyle="1">
    <w:name w:val="Style21"/>
    <w:basedOn w:val="716"/>
    <w:uiPriority w:val="99"/>
    <w:qFormat/>
    <w:pPr>
      <w:ind w:firstLine="542"/>
      <w:jc w:val="both"/>
      <w:spacing w:line="341" w:lineRule="exact"/>
      <w:widowControl w:val="off"/>
    </w:pPr>
    <w:rPr>
      <w:rFonts w:ascii="Calibri" w:hAnsi="Calibri"/>
    </w:rPr>
  </w:style>
  <w:style w:type="paragraph" w:styleId="1151" w:customStyle="1">
    <w:name w:val="Style13"/>
    <w:basedOn w:val="716"/>
    <w:uiPriority w:val="99"/>
    <w:qFormat/>
    <w:pPr>
      <w:ind w:firstLine="706"/>
      <w:jc w:val="both"/>
      <w:spacing w:line="486" w:lineRule="exact"/>
      <w:widowControl w:val="off"/>
    </w:pPr>
    <w:rPr>
      <w:rFonts w:ascii="Franklin Gothic Medium Cond" w:hAnsi="Franklin Gothic Medium Cond"/>
    </w:rPr>
  </w:style>
  <w:style w:type="paragraph" w:styleId="1152" w:customStyle="1">
    <w:name w:val="Style14"/>
    <w:basedOn w:val="716"/>
    <w:uiPriority w:val="99"/>
    <w:qFormat/>
    <w:pPr>
      <w:widowControl w:val="off"/>
    </w:pPr>
    <w:rPr>
      <w:rFonts w:ascii="Franklin Gothic Medium Cond" w:hAnsi="Franklin Gothic Medium Cond"/>
    </w:rPr>
  </w:style>
  <w:style w:type="paragraph" w:styleId="1153" w:customStyle="1">
    <w:name w:val="Заголовок3"/>
    <w:uiPriority w:val="99"/>
    <w:qFormat/>
    <w:pPr>
      <w:widowControl w:val="off"/>
    </w:pPr>
    <w:rPr>
      <w:b/>
      <w:bCs/>
      <w:color w:val="000000"/>
      <w:sz w:val="28"/>
      <w:szCs w:val="28"/>
      <w:lang w:eastAsia="ru-RU"/>
    </w:rPr>
  </w:style>
  <w:style w:type="paragraph" w:styleId="1154" w:customStyle="1">
    <w:name w:val="msonormalcxspmiddlecxspmiddle"/>
    <w:basedOn w:val="716"/>
    <w:qFormat/>
    <w:pPr>
      <w:spacing w:before="100" w:beforeAutospacing="1" w:after="100" w:afterAutospacing="1"/>
    </w:pPr>
  </w:style>
  <w:style w:type="paragraph" w:styleId="1155" w:customStyle="1">
    <w:name w:val="msonormalcxspmiddlecxspmiddlecxsplast"/>
    <w:basedOn w:val="716"/>
    <w:qFormat/>
    <w:pPr>
      <w:spacing w:before="100" w:beforeAutospacing="1" w:after="100" w:afterAutospacing="1"/>
    </w:pPr>
  </w:style>
  <w:style w:type="paragraph" w:styleId="1156" w:customStyle="1">
    <w:name w:val="Без интервала2"/>
    <w:qFormat/>
    <w:rPr>
      <w:rFonts w:ascii="Calibri" w:hAnsi="Calibri" w:cs="Calibri"/>
      <w:sz w:val="22"/>
      <w:szCs w:val="22"/>
      <w:lang w:eastAsia="en-US"/>
    </w:rPr>
  </w:style>
  <w:style w:type="paragraph" w:styleId="1157" w:customStyle="1">
    <w:name w:val="Style27"/>
    <w:basedOn w:val="716"/>
    <w:uiPriority w:val="99"/>
    <w:qFormat/>
    <w:pPr>
      <w:ind w:firstLine="710"/>
      <w:jc w:val="both"/>
      <w:spacing w:line="301" w:lineRule="exact"/>
      <w:widowControl w:val="off"/>
    </w:pPr>
  </w:style>
  <w:style w:type="character" w:styleId="1158" w:customStyle="1">
    <w:name w:val="Знак сноски;Знак сноски-FN;Ciae niinee-FN;SUPERS;Знак сноски 1;Referencia nota al pie;fr;Used by Word for Help footnote symbols"/>
    <w:uiPriority w:val="99"/>
    <w:unhideWhenUsed/>
    <w:rPr>
      <w:rFonts w:ascii="Times New Roman" w:hAnsi="Times New Roman" w:cs="Times New Roman"/>
      <w:vertAlign w:val="superscript"/>
      <w:lang w:val="ru-RU"/>
    </w:rPr>
  </w:style>
  <w:style w:type="character" w:styleId="1159">
    <w:name w:val="page number"/>
    <w:uiPriority w:val="99"/>
    <w:unhideWhenUsed/>
    <w:rPr>
      <w:rFonts w:ascii="Times New Roman" w:hAnsi="Times New Roman" w:cs="Times New Roman"/>
    </w:rPr>
  </w:style>
  <w:style w:type="character" w:styleId="1160" w:customStyle="1">
    <w:name w:val="Заголовок 7 Знак1"/>
    <w:uiPriority w:val="99"/>
    <w:semiHidden/>
    <w:rPr>
      <w:rFonts w:ascii="Cambria" w:hAnsi="Cambria" w:eastAsia="Times New Roman" w:cs="Times New Roman"/>
      <w:i/>
      <w:iCs/>
      <w:color w:val="243f60"/>
    </w:rPr>
  </w:style>
  <w:style w:type="character" w:styleId="1161" w:customStyle="1">
    <w:name w:val="Заголовок 8 Знак1"/>
    <w:uiPriority w:val="99"/>
    <w:semiHidden/>
    <w:rPr>
      <w:rFonts w:ascii="Cambria" w:hAnsi="Cambria" w:eastAsia="Times New Roman" w:cs="Times New Roman"/>
      <w:color w:val="272727"/>
      <w:sz w:val="21"/>
      <w:szCs w:val="21"/>
    </w:rPr>
  </w:style>
  <w:style w:type="character" w:styleId="1162" w:customStyle="1">
    <w:name w:val="Заголовок 9 Знак1"/>
    <w:uiPriority w:val="99"/>
    <w:semiHidden/>
    <w:rPr>
      <w:rFonts w:ascii="Cambria" w:hAnsi="Cambria" w:eastAsia="Times New Roman" w:cs="Times New Roman"/>
      <w:i/>
      <w:iCs/>
      <w:color w:val="272727"/>
      <w:sz w:val="21"/>
      <w:szCs w:val="21"/>
    </w:rPr>
  </w:style>
  <w:style w:type="character" w:styleId="1163" w:customStyle="1">
    <w:name w:val="Heading 1 Char"/>
    <w:link w:val="783"/>
    <w:uiPriority w:val="99"/>
    <w:rPr>
      <w:rFonts w:ascii="Times New Roman" w:hAnsi="Times New Roman" w:cs="Times New Roman"/>
      <w:sz w:val="28"/>
      <w:lang w:val="ru-RU" w:eastAsia="ru-RU"/>
    </w:rPr>
  </w:style>
  <w:style w:type="character" w:styleId="1164" w:customStyle="1">
    <w:name w:val="Heading 2 Char;Знак3 Char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1165" w:customStyle="1">
    <w:name w:val="Heading 3 Char"/>
    <w:link w:val="786"/>
    <w:uiPriority w:val="99"/>
    <w:rPr>
      <w:rFonts w:ascii="Arial" w:hAnsi="Arial" w:cs="Times New Roman"/>
      <w:b/>
      <w:sz w:val="26"/>
      <w:lang w:val="ru-RU" w:eastAsia="ru-RU"/>
    </w:rPr>
  </w:style>
  <w:style w:type="character" w:styleId="1166" w:customStyle="1">
    <w:name w:val="Heading 4 Char"/>
    <w:link w:val="787"/>
    <w:uiPriority w:val="99"/>
    <w:rPr>
      <w:rFonts w:ascii="Times New Roman" w:hAnsi="Times New Roman" w:cs="Times New Roman"/>
      <w:b/>
      <w:sz w:val="28"/>
      <w:lang w:val="ru-RU" w:eastAsia="ru-RU"/>
    </w:rPr>
  </w:style>
  <w:style w:type="character" w:styleId="1167" w:customStyle="1">
    <w:name w:val="Heading 5 Char"/>
    <w:link w:val="788"/>
    <w:uiPriority w:val="99"/>
    <w:rPr>
      <w:rFonts w:ascii="Times New Roman" w:hAnsi="Times New Roman" w:cs="Times New Roman"/>
      <w:b/>
      <w:i/>
      <w:sz w:val="26"/>
      <w:lang w:val="ru-RU" w:eastAsia="ru-RU"/>
    </w:rPr>
  </w:style>
  <w:style w:type="character" w:styleId="1168" w:customStyle="1">
    <w:name w:val="Heading 6 Char"/>
    <w:link w:val="789"/>
    <w:uiPriority w:val="99"/>
    <w:rPr>
      <w:rFonts w:ascii="Times New Roman" w:hAnsi="Times New Roman" w:cs="Times New Roman"/>
      <w:b/>
      <w:sz w:val="28"/>
      <w:lang w:val="ru-RU" w:eastAsia="ru-RU"/>
    </w:rPr>
  </w:style>
  <w:style w:type="character" w:styleId="1169" w:customStyle="1">
    <w:name w:val="Heading 7 Char"/>
    <w:link w:val="790"/>
    <w:uiPriority w:val="99"/>
    <w:rPr>
      <w:rFonts w:ascii="Times New Roman" w:hAnsi="Times New Roman" w:cs="Times New Roman"/>
      <w:sz w:val="28"/>
      <w:lang w:val="ru-RU" w:eastAsia="ru-RU"/>
    </w:rPr>
  </w:style>
  <w:style w:type="character" w:styleId="1170" w:customStyle="1">
    <w:name w:val="Heading 8 Char"/>
    <w:link w:val="791"/>
    <w:uiPriority w:val="99"/>
    <w:rPr>
      <w:rFonts w:ascii="Times New Roman" w:hAnsi="Times New Roman" w:cs="Times New Roman"/>
      <w:i/>
      <w:sz w:val="28"/>
      <w:u w:val="single"/>
      <w:lang w:val="ru-RU" w:eastAsia="ru-RU"/>
    </w:rPr>
  </w:style>
  <w:style w:type="character" w:styleId="1171" w:customStyle="1">
    <w:name w:val="Основной текст с отступом Знак1"/>
    <w:basedOn w:val="726"/>
    <w:uiPriority w:val="99"/>
    <w:semiHidden/>
  </w:style>
  <w:style w:type="character" w:styleId="1172" w:customStyle="1">
    <w:name w:val="Body Text Indent Char"/>
    <w:uiPriority w:val="99"/>
    <w:rPr>
      <w:rFonts w:ascii="Times New Roman" w:hAnsi="Times New Roman" w:cs="Times New Roman"/>
      <w:sz w:val="24"/>
      <w:lang w:val="ru-RU" w:eastAsia="ru-RU"/>
    </w:rPr>
  </w:style>
  <w:style w:type="character" w:styleId="1173" w:customStyle="1">
    <w:name w:val="Основной текст с отступом 2 Знак1"/>
    <w:basedOn w:val="726"/>
    <w:uiPriority w:val="99"/>
    <w:semiHidden/>
  </w:style>
  <w:style w:type="character" w:styleId="1174" w:customStyle="1">
    <w:name w:val="Body Text Indent 2 Char"/>
    <w:uiPriority w:val="99"/>
    <w:semiHidden/>
    <w:rPr>
      <w:rFonts w:ascii="Calibri" w:hAnsi="Calibri" w:cs="Times New Roman"/>
      <w:sz w:val="22"/>
      <w:lang w:val="ru-RU" w:eastAsia="en-US"/>
    </w:rPr>
  </w:style>
  <w:style w:type="character" w:styleId="1175" w:customStyle="1">
    <w:name w:val="Верхний колонтитул Знак1"/>
    <w:basedOn w:val="726"/>
    <w:uiPriority w:val="99"/>
    <w:semiHidden/>
  </w:style>
  <w:style w:type="character" w:styleId="1176" w:customStyle="1">
    <w:name w:val="Header Char"/>
    <w:link w:val="803"/>
    <w:uiPriority w:val="99"/>
    <w:rPr>
      <w:rFonts w:ascii="Calibri" w:hAnsi="Calibri" w:cs="Times New Roman"/>
      <w:sz w:val="22"/>
      <w:lang w:val="ru-RU" w:eastAsia="en-US"/>
    </w:rPr>
  </w:style>
  <w:style w:type="character" w:styleId="1177" w:customStyle="1">
    <w:name w:val="Нижний колонтитул Знак1"/>
    <w:basedOn w:val="726"/>
    <w:uiPriority w:val="99"/>
    <w:semiHidden/>
  </w:style>
  <w:style w:type="character" w:styleId="1178" w:customStyle="1">
    <w:name w:val="Нижний колонтитул Знак2"/>
    <w:link w:val="730"/>
    <w:uiPriority w:val="99"/>
    <w:rPr>
      <w:rFonts w:ascii="Times New Roman" w:hAnsi="Times New Roman" w:cs="Times New Roman"/>
      <w:sz w:val="24"/>
      <w:lang w:val="ru-RU" w:eastAsia="ru-RU"/>
    </w:rPr>
  </w:style>
  <w:style w:type="character" w:styleId="1179" w:customStyle="1">
    <w:name w:val="Основной текст Знак1"/>
    <w:basedOn w:val="726"/>
    <w:uiPriority w:val="99"/>
    <w:semiHidden/>
  </w:style>
  <w:style w:type="character" w:styleId="1180" w:customStyle="1">
    <w:name w:val="Body Text Char"/>
    <w:uiPriority w:val="99"/>
    <w:rPr>
      <w:rFonts w:ascii="Calibri" w:hAnsi="Calibri" w:cs="Times New Roman"/>
      <w:sz w:val="22"/>
      <w:lang w:val="ru-RU" w:eastAsia="en-US"/>
    </w:rPr>
  </w:style>
  <w:style w:type="character" w:styleId="1181" w:customStyle="1">
    <w:name w:val="buk1"/>
    <w:uiPriority w:val="99"/>
    <w:rPr>
      <w:rFonts w:ascii="Arial" w:hAnsi="Arial" w:cs="Arial"/>
      <w:b/>
      <w:color w:val="ffffff"/>
      <w:sz w:val="89"/>
      <w:shd w:val="clear" w:color="auto" w:fill="c0c0c0"/>
    </w:rPr>
  </w:style>
  <w:style w:type="character" w:styleId="1182" w:customStyle="1">
    <w:name w:val="Цветовое выделение"/>
    <w:uiPriority w:val="99"/>
    <w:rPr>
      <w:b/>
      <w:color w:val="000080"/>
      <w:sz w:val="20"/>
    </w:rPr>
  </w:style>
  <w:style w:type="character" w:styleId="1183" w:customStyle="1">
    <w:name w:val="Гипертекстовая ссылка"/>
    <w:uiPriority w:val="99"/>
    <w:rPr>
      <w:b/>
      <w:color w:val="008000"/>
      <w:sz w:val="20"/>
      <w:u w:val="single"/>
    </w:rPr>
  </w:style>
  <w:style w:type="character" w:styleId="1184" w:customStyle="1">
    <w:name w:val="Основной текст с отступом 3 Знак1"/>
    <w:uiPriority w:val="99"/>
    <w:semiHidden/>
    <w:rPr>
      <w:sz w:val="16"/>
      <w:szCs w:val="16"/>
    </w:rPr>
  </w:style>
  <w:style w:type="character" w:styleId="1185" w:customStyle="1">
    <w:name w:val="Body Text Indent 3 Char"/>
    <w:uiPriority w:val="99"/>
    <w:rPr>
      <w:rFonts w:ascii="Times New Roman" w:hAnsi="Times New Roman" w:cs="Times New Roman"/>
      <w:sz w:val="16"/>
      <w:lang w:val="ru-RU" w:eastAsia="ru-RU"/>
    </w:rPr>
  </w:style>
  <w:style w:type="character" w:styleId="1186" w:customStyle="1">
    <w:name w:val="hl21"/>
    <w:uiPriority w:val="99"/>
    <w:rPr>
      <w:b/>
      <w:sz w:val="24"/>
    </w:rPr>
  </w:style>
  <w:style w:type="paragraph" w:styleId="1187">
    <w:name w:val="Body Text 2"/>
    <w:basedOn w:val="716"/>
    <w:link w:val="992"/>
    <w:uiPriority w:val="99"/>
    <w:unhideWhenUsed/>
    <w:pPr>
      <w:spacing w:after="120" w:line="480" w:lineRule="auto"/>
    </w:pPr>
  </w:style>
  <w:style w:type="character" w:styleId="1188" w:customStyle="1">
    <w:name w:val="Основной текст 2 Знак1"/>
    <w:basedOn w:val="726"/>
    <w:uiPriority w:val="99"/>
  </w:style>
  <w:style w:type="character" w:styleId="1189" w:customStyle="1">
    <w:name w:val="Body Text 2 Char"/>
    <w:uiPriority w:val="99"/>
    <w:rPr>
      <w:rFonts w:ascii="Times New Roman" w:hAnsi="Times New Roman" w:cs="Times New Roman"/>
      <w:lang w:val="ru-RU" w:eastAsia="ru-RU"/>
    </w:rPr>
  </w:style>
  <w:style w:type="paragraph" w:styleId="1190">
    <w:name w:val="Plain Text"/>
    <w:basedOn w:val="716"/>
    <w:link w:val="996"/>
    <w:unhideWhenUsed/>
    <w:rPr>
      <w:rFonts w:ascii="Courier New" w:hAnsi="Courier New" w:eastAsia="Times New Roman"/>
      <w:b/>
      <w:sz w:val="20"/>
      <w:szCs w:val="20"/>
      <w:lang w:val="en-US" w:eastAsia="en-US"/>
    </w:rPr>
  </w:style>
  <w:style w:type="character" w:styleId="1191" w:customStyle="1">
    <w:name w:val="Текст Знак1"/>
    <w:uiPriority w:val="99"/>
    <w:rPr>
      <w:rFonts w:ascii="Courier New" w:hAnsi="Courier New" w:cs="Courier New"/>
    </w:rPr>
  </w:style>
  <w:style w:type="character" w:styleId="1192" w:customStyle="1">
    <w:name w:val="Plain Text Char"/>
    <w:uiPriority w:val="99"/>
    <w:semiHidden/>
    <w:rPr>
      <w:rFonts w:ascii="Courier New" w:hAnsi="Courier New" w:cs="Times New Roman"/>
      <w:lang w:val="ru-RU" w:eastAsia="ru-RU"/>
    </w:rPr>
  </w:style>
  <w:style w:type="character" w:styleId="1193" w:customStyle="1">
    <w:name w:val="Название Знак1"/>
    <w:rPr>
      <w:rFonts w:ascii="Cambria" w:hAnsi="Cambria" w:eastAsia="Times New Roman" w:cs="Times New Roman"/>
      <w:b/>
      <w:bCs/>
      <w:sz w:val="32"/>
      <w:szCs w:val="32"/>
    </w:rPr>
  </w:style>
  <w:style w:type="character" w:styleId="1194" w:customStyle="1">
    <w:name w:val="Заголовок Знак1"/>
    <w:rPr>
      <w:rFonts w:ascii="Cambria" w:hAnsi="Cambria" w:eastAsia="Times New Roman" w:cs="Times New Roman"/>
      <w:spacing w:val="-10"/>
      <w:sz w:val="56"/>
      <w:szCs w:val="56"/>
    </w:rPr>
  </w:style>
  <w:style w:type="character" w:styleId="1195" w:customStyle="1">
    <w:name w:val="Title Char"/>
    <w:uiPriority w:val="99"/>
    <w:rPr>
      <w:rFonts w:ascii="Times New Roman" w:hAnsi="Times New Roman" w:cs="Times New Roman"/>
      <w:sz w:val="28"/>
      <w:lang w:val="ru-RU" w:eastAsia="ru-RU"/>
    </w:rPr>
  </w:style>
  <w:style w:type="paragraph" w:styleId="1196">
    <w:name w:val="Body Text 3"/>
    <w:basedOn w:val="716"/>
    <w:link w:val="993"/>
    <w:uiPriority w:val="99"/>
    <w:unhideWhenUsed/>
    <w:pPr>
      <w:spacing w:after="120"/>
    </w:pPr>
    <w:rPr>
      <w:rFonts w:eastAsia="Times New Roman"/>
      <w:sz w:val="16"/>
      <w:szCs w:val="20"/>
      <w:lang w:val="en-US" w:eastAsia="en-US"/>
    </w:rPr>
  </w:style>
  <w:style w:type="character" w:styleId="1197" w:customStyle="1">
    <w:name w:val="Основной текст 3 Знак1"/>
    <w:uiPriority w:val="99"/>
    <w:rPr>
      <w:sz w:val="16"/>
      <w:szCs w:val="16"/>
    </w:rPr>
  </w:style>
  <w:style w:type="character" w:styleId="1198" w:customStyle="1">
    <w:name w:val="Body Text 3 Char"/>
    <w:uiPriority w:val="99"/>
    <w:rPr>
      <w:rFonts w:ascii="Times New Roman" w:hAnsi="Times New Roman" w:cs="Times New Roman"/>
      <w:sz w:val="16"/>
      <w:lang w:val="ru-RU" w:eastAsia="ru-RU"/>
    </w:rPr>
  </w:style>
  <w:style w:type="character" w:styleId="1199" w:customStyle="1">
    <w:name w:val="Footnote Text Char;Table_Footnote_last Char;Текст сноски Знак Знак Char Char1;Texto de nota al pie Char Char;Texto de nota al pie Char1;Текст сноски Знак Знак Char Char Char;Schriftart: 9 pt Char;Schriftart: 10 pt Char;Schriftart: 8 pt Char;fn Char"/>
    <w:uiPriority w:val="99"/>
    <w:semiHidden/>
    <w:rPr>
      <w:rFonts w:ascii="Arial" w:hAnsi="Arial" w:cs="Times New Roman"/>
      <w:spacing w:val="-5"/>
      <w:lang w:val="ru-RU" w:eastAsia="en-US"/>
    </w:rPr>
  </w:style>
  <w:style w:type="character" w:styleId="1200" w:customStyle="1">
    <w:name w:val="news_text"/>
    <w:uiPriority w:val="99"/>
    <w:rPr>
      <w:rFonts w:ascii="Verdana" w:hAnsi="Verdana"/>
      <w:color w:val="000000"/>
      <w:sz w:val="17"/>
      <w:shd w:val="clear" w:color="auto" w:fill="ffffff"/>
    </w:rPr>
  </w:style>
  <w:style w:type="character" w:styleId="1201" w:customStyle="1">
    <w:name w:val="style21"/>
    <w:uiPriority w:val="99"/>
    <w:rPr>
      <w:b/>
      <w:color w:val="006ce4"/>
      <w:sz w:val="27"/>
    </w:rPr>
  </w:style>
  <w:style w:type="character" w:styleId="1202" w:customStyle="1">
    <w:name w:val="grame"/>
    <w:uiPriority w:val="99"/>
  </w:style>
  <w:style w:type="character" w:styleId="1203" w:customStyle="1">
    <w:name w:val="Текст выноски Знак1"/>
    <w:uiPriority w:val="99"/>
    <w:semiHidden/>
    <w:rPr>
      <w:rFonts w:ascii="Segoe UI" w:hAnsi="Segoe UI" w:cs="Segoe UI"/>
      <w:sz w:val="18"/>
      <w:szCs w:val="18"/>
    </w:rPr>
  </w:style>
  <w:style w:type="character" w:styleId="1204" w:customStyle="1">
    <w:name w:val="Balloon Text Char"/>
    <w:uiPriority w:val="99"/>
    <w:semiHidden/>
    <w:rPr>
      <w:rFonts w:ascii="Tahoma" w:hAnsi="Tahoma" w:cs="Times New Roman"/>
      <w:sz w:val="16"/>
      <w:lang w:val="ru-RU" w:eastAsia="ru-RU"/>
    </w:rPr>
  </w:style>
  <w:style w:type="character" w:styleId="1205" w:customStyle="1">
    <w:name w:val="f"/>
    <w:uiPriority w:val="99"/>
  </w:style>
  <w:style w:type="character" w:styleId="1206" w:customStyle="1">
    <w:name w:val="Знак1"/>
    <w:uiPriority w:val="99"/>
    <w:rPr>
      <w:sz w:val="24"/>
      <w:lang w:val="ru-RU" w:eastAsia="ru-RU"/>
    </w:rPr>
  </w:style>
  <w:style w:type="character" w:styleId="1207" w:customStyle="1">
    <w:name w:val="gen1"/>
    <w:uiPriority w:val="99"/>
    <w:rPr>
      <w:color w:val="000000"/>
      <w:sz w:val="18"/>
    </w:rPr>
  </w:style>
  <w:style w:type="character" w:styleId="1208" w:customStyle="1">
    <w:name w:val="spelle"/>
    <w:uiPriority w:val="99"/>
  </w:style>
  <w:style w:type="character" w:styleId="1209" w:customStyle="1">
    <w:name w:val="paragraph"/>
    <w:uiPriority w:val="99"/>
  </w:style>
  <w:style w:type="character" w:styleId="1210" w:customStyle="1">
    <w:name w:val="text_gray"/>
    <w:uiPriority w:val="99"/>
    <w:rPr>
      <w:rFonts w:ascii="Verdana" w:hAnsi="Verdana"/>
      <w:color w:val="777777"/>
      <w:sz w:val="21"/>
      <w:u w:val="none"/>
    </w:rPr>
  </w:style>
  <w:style w:type="character" w:styleId="1211" w:customStyle="1">
    <w:name w:val="symbols"/>
    <w:uiPriority w:val="99"/>
  </w:style>
  <w:style w:type="character" w:styleId="1212" w:customStyle="1">
    <w:name w:val="article_separator1"/>
    <w:uiPriority w:val="99"/>
  </w:style>
  <w:style w:type="character" w:styleId="1213" w:customStyle="1">
    <w:name w:val="Font Style11"/>
    <w:uiPriority w:val="99"/>
    <w:rPr>
      <w:rFonts w:ascii="Times New Roman" w:hAnsi="Times New Roman" w:cs="Times New Roman"/>
      <w:b/>
      <w:sz w:val="26"/>
    </w:rPr>
  </w:style>
  <w:style w:type="character" w:styleId="1214" w:customStyle="1">
    <w:name w:val="Font Style12"/>
    <w:uiPriority w:val="99"/>
    <w:rPr>
      <w:rFonts w:ascii="Times New Roman" w:hAnsi="Times New Roman" w:cs="Times New Roman"/>
      <w:sz w:val="28"/>
    </w:rPr>
  </w:style>
  <w:style w:type="character" w:styleId="1215" w:customStyle="1">
    <w:name w:val="Font Style13"/>
    <w:uiPriority w:val="99"/>
    <w:rPr>
      <w:rFonts w:ascii="Times New Roman" w:hAnsi="Times New Roman" w:cs="Times New Roman"/>
      <w:i/>
      <w:sz w:val="28"/>
    </w:rPr>
  </w:style>
  <w:style w:type="character" w:styleId="1216" w:customStyle="1">
    <w:name w:val="b_currentcrumb"/>
    <w:uiPriority w:val="99"/>
  </w:style>
  <w:style w:type="character" w:styleId="1217" w:customStyle="1">
    <w:name w:val="__SUBST"/>
    <w:uiPriority w:val="99"/>
    <w:rPr>
      <w:b/>
      <w:i/>
      <w:sz w:val="22"/>
    </w:rPr>
  </w:style>
  <w:style w:type="character" w:styleId="1218" w:customStyle="1">
    <w:name w:val="highlight highlight_active"/>
    <w:uiPriority w:val="99"/>
  </w:style>
  <w:style w:type="character" w:styleId="1219" w:customStyle="1">
    <w:name w:val="article_separator"/>
    <w:uiPriority w:val="99"/>
    <w:rPr>
      <w:vanish/>
    </w:rPr>
  </w:style>
  <w:style w:type="character" w:styleId="1220" w:customStyle="1">
    <w:name w:val="Заголовок 4 Знак1"/>
    <w:uiPriority w:val="99"/>
    <w:rPr>
      <w:b/>
      <w:sz w:val="28"/>
      <w:lang w:val="ru-RU" w:eastAsia="ru-RU"/>
    </w:rPr>
  </w:style>
  <w:style w:type="character" w:styleId="1221" w:customStyle="1">
    <w:name w:val="Font Style19"/>
    <w:uiPriority w:val="99"/>
    <w:rPr>
      <w:rFonts w:ascii="Times New Roman" w:hAnsi="Times New Roman" w:cs="Times New Roman"/>
      <w:sz w:val="28"/>
    </w:rPr>
  </w:style>
  <w:style w:type="character" w:styleId="1222" w:customStyle="1">
    <w:name w:val="font_regular_white"/>
    <w:uiPriority w:val="99"/>
    <w:rPr>
      <w:rFonts w:ascii="Times New Roman" w:hAnsi="Times New Roman" w:cs="Times New Roman"/>
    </w:rPr>
  </w:style>
  <w:style w:type="character" w:styleId="1223" w:customStyle="1">
    <w:name w:val="Heading 2 Char4;Знак3 Char4"/>
    <w:uiPriority w:val="99"/>
    <w:rPr>
      <w:rFonts w:ascii="Arial" w:hAnsi="Arial" w:cs="Arial"/>
      <w:b/>
      <w:i/>
      <w:sz w:val="28"/>
      <w:lang w:val="ru-RU" w:eastAsia="ru-RU"/>
    </w:rPr>
  </w:style>
  <w:style w:type="character" w:styleId="1224" w:customStyle="1">
    <w:name w:val="Plain Text Char1"/>
    <w:uiPriority w:val="99"/>
    <w:rPr>
      <w:rFonts w:ascii="Courier New" w:hAnsi="Courier New" w:cs="Courier New"/>
      <w:b/>
      <w:lang w:val="ru-RU" w:eastAsia="ru-RU"/>
    </w:rPr>
  </w:style>
  <w:style w:type="character" w:styleId="1225" w:customStyle="1">
    <w:name w:val="Title Char1"/>
    <w:uiPriority w:val="99"/>
    <w:rPr>
      <w:sz w:val="28"/>
      <w:lang w:val="ru-RU" w:eastAsia="ru-RU"/>
    </w:rPr>
  </w:style>
  <w:style w:type="character" w:styleId="1226" w:customStyle="1">
    <w:name w:val="Normal (Web) Char;Обычный (Web)1 Char;Обычный (Web) Char;Обычный (веб)211 Char;Обычный (веб)11 Char;Обычный (веб) Знак Char;Обычный (Web) Знак Char;Обычный (веб)4 Char;Обычный (Web)11 Char;Обычный (веб)21 Char;Обычный (веб)3 Char"/>
    <w:uiPriority w:val="99"/>
    <w:rPr>
      <w:sz w:val="24"/>
      <w:lang w:val="ru-RU" w:eastAsia="ru-RU"/>
    </w:rPr>
  </w:style>
  <w:style w:type="character" w:styleId="1227" w:customStyle="1">
    <w:name w:val="apple-converted-space"/>
    <w:rPr>
      <w:rFonts w:ascii="Times New Roman" w:hAnsi="Times New Roman" w:cs="Times New Roman"/>
    </w:rPr>
  </w:style>
  <w:style w:type="character" w:styleId="1228" w:customStyle="1">
    <w:name w:val="Title Char2"/>
    <w:uiPriority w:val="99"/>
    <w:rPr>
      <w:sz w:val="28"/>
      <w:lang w:val="ru-RU" w:eastAsia="ru-RU"/>
    </w:rPr>
  </w:style>
  <w:style w:type="character" w:styleId="1229" w:customStyle="1">
    <w:name w:val="Body text (3)"/>
    <w:uiPriority w:val="99"/>
    <w:rPr>
      <w:rFonts w:ascii="Times New Roman" w:hAnsi="Times New Roman" w:cs="Times New Roman"/>
      <w:i/>
      <w:color w:val="000000"/>
      <w:spacing w:val="0"/>
      <w:position w:val="0"/>
      <w:sz w:val="28"/>
      <w:u w:val="single"/>
      <w:lang w:val="ru-RU" w:eastAsia="ru-RU"/>
    </w:rPr>
  </w:style>
  <w:style w:type="character" w:styleId="1230" w:customStyle="1">
    <w:name w:val="Body Text 2 Char1"/>
    <w:uiPriority w:val="99"/>
    <w:rPr>
      <w:lang w:val="ru-RU" w:eastAsia="ru-RU"/>
    </w:rPr>
  </w:style>
  <w:style w:type="character" w:styleId="1231" w:customStyle="1">
    <w:name w:val="Heading 2 Char2;Знак3 Char2"/>
    <w:uiPriority w:val="99"/>
    <w:rPr>
      <w:rFonts w:ascii="Arial" w:hAnsi="Arial" w:cs="Arial"/>
      <w:b/>
      <w:i/>
      <w:sz w:val="28"/>
      <w:lang w:val="ru-RU" w:eastAsia="ru-RU"/>
    </w:rPr>
  </w:style>
  <w:style w:type="character" w:styleId="1232" w:customStyle="1">
    <w:name w:val="Heading 2 Char3;Знак3 Char3"/>
    <w:uiPriority w:val="99"/>
    <w:rPr>
      <w:rFonts w:ascii="Arial" w:hAnsi="Arial" w:cs="Arial"/>
      <w:b/>
      <w:i/>
      <w:sz w:val="28"/>
      <w:lang w:val="ru-RU" w:eastAsia="ru-RU"/>
    </w:rPr>
  </w:style>
  <w:style w:type="character" w:styleId="1233" w:customStyle="1">
    <w:name w:val="Font Style25"/>
    <w:uiPriority w:val="99"/>
    <w:rPr>
      <w:rFonts w:ascii="Calibri" w:hAnsi="Calibri"/>
      <w:spacing w:val="-10"/>
      <w:sz w:val="24"/>
    </w:rPr>
  </w:style>
  <w:style w:type="character" w:styleId="1234" w:customStyle="1">
    <w:name w:val="Подзаголовок Знак1"/>
    <w:rPr>
      <w:rFonts w:ascii="Cambria" w:hAnsi="Cambria" w:eastAsia="Times New Roman" w:cs="Times New Roman"/>
      <w:sz w:val="24"/>
      <w:szCs w:val="24"/>
    </w:rPr>
  </w:style>
  <w:style w:type="character" w:styleId="1235" w:customStyle="1">
    <w:name w:val="st"/>
    <w:basedOn w:val="726"/>
  </w:style>
  <w:style w:type="character" w:styleId="1236" w:customStyle="1">
    <w:name w:val="fontstyle01"/>
    <w:rPr>
      <w:rFonts w:ascii="Calibri" w:hAnsi="Calibri"/>
      <w:color w:val="000000"/>
      <w:sz w:val="28"/>
      <w:szCs w:val="28"/>
    </w:rPr>
  </w:style>
  <w:style w:type="character" w:styleId="1237" w:customStyle="1">
    <w:name w:val="Font Style43"/>
    <w:uiPriority w:val="99"/>
    <w:rPr>
      <w:rFonts w:ascii="Times New Roman" w:hAnsi="Times New Roman" w:cs="Times New Roman"/>
      <w:sz w:val="24"/>
      <w:szCs w:val="24"/>
    </w:rPr>
  </w:style>
  <w:style w:type="character" w:styleId="1238" w:customStyle="1">
    <w:name w:val="Body text (2) + 11 pt"/>
    <w:rPr>
      <w:rFonts w:ascii="Times New Roman" w:hAnsi="Times New Roman" w:eastAsia="Times New Roman" w:cs="Times New Roman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1239" w:customStyle="1">
    <w:name w:val="Font Style37"/>
    <w:uiPriority w:val="99"/>
    <w:rPr>
      <w:rFonts w:ascii="Calibri" w:hAnsi="Calibri" w:cs="Calibri"/>
      <w:sz w:val="26"/>
      <w:szCs w:val="26"/>
    </w:rPr>
  </w:style>
  <w:style w:type="character" w:styleId="1240" w:customStyle="1">
    <w:name w:val="Font Style36"/>
    <w:uiPriority w:val="99"/>
    <w:rPr>
      <w:rFonts w:ascii="Calibri" w:hAnsi="Calibri" w:cs="Calibri"/>
      <w:b/>
      <w:bCs/>
      <w:sz w:val="26"/>
      <w:szCs w:val="26"/>
    </w:rPr>
  </w:style>
  <w:style w:type="character" w:styleId="1241" w:customStyle="1">
    <w:name w:val="Font Style48"/>
    <w:uiPriority w:val="99"/>
    <w:rPr>
      <w:rFonts w:ascii="Times New Roman" w:hAnsi="Times New Roman" w:cs="Times New Roman"/>
      <w:i/>
      <w:iCs/>
      <w:sz w:val="26"/>
      <w:szCs w:val="26"/>
    </w:rPr>
  </w:style>
  <w:style w:type="character" w:styleId="1242" w:customStyle="1">
    <w:name w:val="Font Style49"/>
    <w:uiPriority w:val="99"/>
    <w:rPr>
      <w:rFonts w:ascii="Times New Roman" w:hAnsi="Times New Roman" w:cs="Times New Roman"/>
      <w:sz w:val="26"/>
      <w:szCs w:val="26"/>
    </w:rPr>
  </w:style>
  <w:style w:type="character" w:styleId="1243" w:customStyle="1">
    <w:name w:val="cardmaininfo__content"/>
    <w:basedOn w:val="726"/>
  </w:style>
  <w:style w:type="character" w:styleId="1244" w:customStyle="1">
    <w:name w:val="Font Style30"/>
    <w:uiPriority w:val="99"/>
    <w:rPr>
      <w:rFonts w:ascii="Times New Roman" w:hAnsi="Times New Roman" w:cs="Times New Roman"/>
      <w:sz w:val="24"/>
      <w:szCs w:val="24"/>
    </w:rPr>
  </w:style>
  <w:style w:type="table" w:styleId="1245">
    <w:name w:val="Table Elegant"/>
    <w:basedOn w:val="727"/>
    <w:uiPriority w:val="99"/>
    <w:unhideWhenUsed/>
    <w:tblPr/>
  </w:style>
  <w:style w:type="table" w:styleId="1246" w:customStyle="1">
    <w:name w:val="Изысканная таблица1"/>
    <w:uiPriority w:val="99"/>
    <w:rPr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247" w:customStyle="1">
    <w:name w:val="Изысканная таблица2"/>
    <w:uiPriority w:val="99"/>
    <w:rPr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248" w:customStyle="1">
    <w:name w:val="Сетка таблицы1"/>
    <w:uiPriority w:val="99"/>
    <w:rPr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249" w:customStyle="1">
    <w:name w:val="Изысканная таблица11"/>
    <w:uiPriority w:val="99"/>
    <w:rPr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numbering" w:styleId="1250" w:customStyle="1">
    <w:name w:val="Стиль маркированный"/>
  </w:style>
  <w:style w:type="paragraph" w:styleId="1251" w:customStyle="1">
    <w:name w:val="Style17"/>
    <w:basedOn w:val="716"/>
    <w:uiPriority w:val="99"/>
    <w:pPr>
      <w:ind w:firstLine="154"/>
      <w:spacing w:line="413" w:lineRule="exact"/>
      <w:widowControl w:val="off"/>
    </w:pPr>
    <w:rPr>
      <w:rFonts w:ascii="Arial" w:hAnsi="Arial" w:eastAsia="Times New Roman" w:cs="Arial"/>
    </w:rPr>
  </w:style>
  <w:style w:type="character" w:styleId="1252" w:customStyle="1">
    <w:name w:val="Font Style31"/>
    <w:uiPriority w:val="99"/>
    <w:rPr>
      <w:rFonts w:ascii="Arial" w:hAnsi="Arial" w:cs="Arial"/>
      <w:sz w:val="22"/>
      <w:szCs w:val="22"/>
    </w:rPr>
  </w:style>
  <w:style w:type="paragraph" w:styleId="1253" w:customStyle="1">
    <w:name w:val="Style16"/>
    <w:basedOn w:val="716"/>
    <w:uiPriority w:val="99"/>
    <w:pPr>
      <w:ind w:firstLine="1392"/>
      <w:jc w:val="both"/>
      <w:spacing w:line="403" w:lineRule="exact"/>
      <w:widowControl w:val="off"/>
    </w:pPr>
    <w:rPr>
      <w:rFonts w:ascii="Arial" w:hAnsi="Arial" w:eastAsia="Times New Roman" w:cs="Arial"/>
    </w:rPr>
  </w:style>
  <w:style w:type="character" w:styleId="1254" w:customStyle="1">
    <w:name w:val="violet"/>
    <w:basedOn w:val="726"/>
  </w:style>
  <w:style w:type="character" w:styleId="1255" w:customStyle="1">
    <w:name w:val="extendedtext-full"/>
    <w:basedOn w:val="726"/>
  </w:style>
  <w:style w:type="paragraph" w:styleId="1256" w:customStyle="1">
    <w:name w:val="Style19"/>
    <w:basedOn w:val="716"/>
    <w:uiPriority w:val="99"/>
    <w:pPr>
      <w:ind w:firstLine="552"/>
      <w:jc w:val="both"/>
      <w:spacing w:line="346" w:lineRule="exact"/>
      <w:widowControl w:val="off"/>
    </w:pPr>
    <w:rPr>
      <w:rFonts w:ascii="Calibri" w:hAnsi="Calibri" w:eastAsia="Times New Roman"/>
    </w:rPr>
  </w:style>
  <w:style w:type="character" w:styleId="1257" w:customStyle="1">
    <w:name w:val="hl"/>
    <w:basedOn w:val="726"/>
  </w:style>
  <w:style w:type="character" w:styleId="1258" w:customStyle="1">
    <w:name w:val="pt-a0-000010"/>
    <w:basedOn w:val="726"/>
  </w:style>
  <w:style w:type="character" w:styleId="1259">
    <w:name w:val="annotation reference"/>
    <w:uiPriority w:val="99"/>
    <w:rPr>
      <w:sz w:val="16"/>
      <w:szCs w:val="16"/>
    </w:rPr>
  </w:style>
  <w:style w:type="paragraph" w:styleId="1260">
    <w:name w:val="annotation text"/>
    <w:basedOn w:val="716"/>
    <w:link w:val="1261"/>
    <w:uiPriority w:val="99"/>
  </w:style>
  <w:style w:type="character" w:styleId="1261" w:customStyle="1">
    <w:name w:val="Текст примечания Знак"/>
    <w:basedOn w:val="726"/>
    <w:link w:val="1260"/>
    <w:uiPriority w:val="99"/>
  </w:style>
  <w:style w:type="paragraph" w:styleId="1262">
    <w:name w:val="annotation subject"/>
    <w:basedOn w:val="1260"/>
    <w:next w:val="1260"/>
    <w:link w:val="1263"/>
    <w:rPr>
      <w:rFonts w:eastAsia="Times New Roman"/>
      <w:b/>
      <w:bCs/>
      <w:sz w:val="20"/>
      <w:szCs w:val="20"/>
      <w:lang w:val="en-US" w:eastAsia="en-US"/>
    </w:rPr>
  </w:style>
  <w:style w:type="character" w:styleId="1263" w:customStyle="1">
    <w:name w:val="Тема примечания Знак"/>
    <w:link w:val="1262"/>
    <w:rPr>
      <w:b/>
      <w:bCs/>
    </w:rPr>
  </w:style>
  <w:style w:type="character" w:styleId="1264" w:customStyle="1">
    <w:name w:val="Font Style105"/>
    <w:uiPriority w:val="99"/>
    <w:rPr>
      <w:rFonts w:ascii="Times New Roman" w:hAnsi="Times New Roman" w:cs="Times New Roman"/>
      <w:sz w:val="26"/>
      <w:szCs w:val="26"/>
    </w:rPr>
  </w:style>
  <w:style w:type="character" w:styleId="1265" w:customStyle="1">
    <w:name w:val="Гиперссылка1"/>
    <w:uiPriority w:val="99"/>
    <w:unhideWhenUsed/>
    <w:rPr>
      <w:rFonts w:ascii="Times New Roman" w:hAnsi="Times New Roman" w:cs="Times New Roman"/>
      <w:color w:val="0000ff"/>
      <w:u w:val="single"/>
    </w:rPr>
  </w:style>
  <w:style w:type="paragraph" w:styleId="1266" w:customStyle="1">
    <w:name w:val="docdata"/>
    <w:basedOn w:val="716"/>
    <w:pPr>
      <w:spacing w:before="100" w:beforeAutospacing="1" w:after="100" w:afterAutospacing="1"/>
    </w:pPr>
    <w:rPr>
      <w:rFonts w:eastAsiaTheme="minorHAnsi"/>
      <w:color w:val="auto"/>
    </w:rPr>
  </w:style>
  <w:style w:type="table" w:styleId="1267" w:customStyle="1">
    <w:name w:val="Сетка таблицы2"/>
    <w:basedOn w:val="727"/>
    <w:next w:val="807"/>
    <w:uiPriority w:val="59"/>
    <w:rPr>
      <w:rFonts w:ascii="Calibri" w:hAnsi="Calibri" w:eastAsia="Calibri"/>
      <w:sz w:val="22"/>
      <w:szCs w:val="22"/>
      <w:lang w:eastAsia="en-US"/>
    </w:rPr>
    <w:tblPr/>
  </w:style>
  <w:style w:type="paragraph" w:styleId="1268">
    <w:name w:val="Normal (Web)"/>
    <w:basedOn w:val="716"/>
    <w:link w:val="1269"/>
    <w:unhideWhenUsed/>
    <w:qFormat/>
    <w:pPr>
      <w:spacing w:before="100" w:beforeAutospacing="1" w:after="100" w:afterAutospacing="1"/>
    </w:pPr>
    <w:rPr>
      <w:rFonts w:eastAsia="Times New Roman"/>
      <w:color w:val="auto"/>
    </w:rPr>
  </w:style>
  <w:style w:type="character" w:styleId="1269" w:customStyle="1">
    <w:name w:val="Обычный (веб) Знак"/>
    <w:link w:val="1268"/>
    <w:rPr>
      <w:sz w:val="24"/>
      <w:szCs w:val="24"/>
      <w:lang w:eastAsia="ru-RU"/>
    </w:rPr>
  </w:style>
  <w:style w:type="paragraph" w:styleId="1270" w:customStyle="1">
    <w:name w:val="Основной текст с отступом1"/>
    <w:pPr>
      <w:ind w:left="283"/>
      <w:spacing w:after="1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32"/>
      <w:lang w:eastAsia="ru-RU"/>
    </w:rPr>
  </w:style>
  <w:style w:type="paragraph" w:styleId="1271" w:customStyle="1">
    <w:name w:val="Text body"/>
    <w:qFormat/>
    <w:pPr>
      <w:spacing w:after="14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Liberation Serif" w:hAnsi="Liberation Serif" w:eastAsia="Droid Sans Fallback" w:cs="Droid Sans Devanagari"/>
      <w:sz w:val="24"/>
      <w:szCs w:val="24"/>
      <w:lang w:bidi="hi-IN"/>
    </w:rPr>
  </w:style>
  <w:style w:type="paragraph" w:styleId="1272" w:customStyle="1">
    <w:name w:val="Заголовок 2;Знак3"/>
    <w:uiPriority w:val="99"/>
    <w:qFormat/>
    <w:pPr>
      <w:keepNext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</w:pPr>
    <w:rPr>
      <w:color w:val="000000"/>
      <w:sz w:val="28"/>
      <w:lang w:val="en-US" w:eastAsia="en-US"/>
    </w:rPr>
  </w:style>
  <w:style w:type="paragraph" w:styleId="1273" w:customStyle="1">
    <w:name w:val="Основной текст2"/>
    <w:next w:val="937"/>
    <w:uiPriority w:val="99"/>
    <w:pPr>
      <w:jc w:val="both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000000"/>
      <w:sz w:val="28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Relationship Id="rId14" Type="http://schemas.openxmlformats.org/officeDocument/2006/relationships/image" Target="media/image1.png"/><Relationship Id="rId15" Type="http://schemas.openxmlformats.org/officeDocument/2006/relationships/hyperlink" Target="garantF1://12012604.0" TargetMode="External"/><Relationship Id="rId16" Type="http://schemas.openxmlformats.org/officeDocument/2006/relationships/hyperlink" Target="garantF1://70584666.0" TargetMode="External"/><Relationship Id="rId17" Type="http://schemas.openxmlformats.org/officeDocument/2006/relationships/hyperlink" Target="garantF1://36431324.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D57CE-C050-4E5E-B8AD-AC355638F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Hewlett-Packard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</dc:creator>
  <cp:lastModifiedBy>er.smirnova</cp:lastModifiedBy>
  <cp:revision>3</cp:revision>
  <dcterms:created xsi:type="dcterms:W3CDTF">2025-12-02T12:57:00Z</dcterms:created>
  <dcterms:modified xsi:type="dcterms:W3CDTF">2026-01-26T13:24:31Z</dcterms:modified>
  <cp:version>786432</cp:version>
</cp:coreProperties>
</file>